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52" w:lineRule="auto"/>
        <w:jc w:val="center"/>
        <w:rPr>
          <w:rFonts w:ascii="方正小标宋_GBK" w:hAnsi="方正小标宋简体" w:eastAsia="方正小标宋_GBK" w:cs="方正小标宋简体"/>
          <w:sz w:val="60"/>
          <w:szCs w:val="60"/>
        </w:rPr>
      </w:pPr>
      <w:bookmarkStart w:id="0" w:name="OLE_LINK1"/>
      <w:r>
        <w:rPr>
          <w:rFonts w:hint="eastAsia" w:ascii="方正小标宋_GBK" w:hAnsi="方正小标宋简体" w:eastAsia="方正小标宋_GBK" w:cs="方正小标宋简体"/>
          <w:sz w:val="60"/>
          <w:szCs w:val="60"/>
        </w:rPr>
        <w:t>南通市公共资源交易平台电子交易业务培训材料</w:t>
      </w: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rPr>
          <w:rFonts w:ascii="仿宋" w:hAnsi="仿宋" w:eastAsia="仿宋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  <w:t>建设工程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kern w:val="36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  <w:t>（投标人）</w:t>
      </w: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adjustRightInd w:val="0"/>
        <w:snapToGrid w:val="0"/>
        <w:jc w:val="center"/>
        <w:rPr>
          <w:rFonts w:eastAsia="方正仿宋_GBK"/>
          <w:sz w:val="44"/>
          <w:szCs w:val="44"/>
        </w:rPr>
      </w:pPr>
      <w:r>
        <w:rPr>
          <w:rFonts w:hint="eastAsia" w:eastAsia="方正仿宋_GBK"/>
          <w:sz w:val="44"/>
          <w:szCs w:val="44"/>
        </w:rPr>
        <w:t>南通市公共资源交易中心</w:t>
      </w:r>
    </w:p>
    <w:p/>
    <w:p/>
    <w:p/>
    <w:p>
      <w:pPr>
        <w:rPr>
          <w:rFonts w:eastAsia="仿宋_GB2312"/>
          <w:b/>
          <w:sz w:val="28"/>
          <w:szCs w:val="28"/>
          <w:shd w:val="pct10" w:color="auto" w:fill="FFFFFF"/>
        </w:rPr>
      </w:pPr>
    </w:p>
    <w:p>
      <w:pPr>
        <w:jc w:val="center"/>
        <w:rPr>
          <w:rFonts w:hint="eastAsia" w:ascii="宋体" w:hAnsi="宋体"/>
          <w:b/>
          <w:sz w:val="32"/>
          <w:szCs w:val="32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目  录</w:t>
      </w:r>
    </w:p>
    <w:p>
      <w:pPr>
        <w:pStyle w:val="28"/>
        <w:tabs>
          <w:tab w:val="left" w:pos="840"/>
        </w:tabs>
        <w:rPr>
          <w:rFonts w:asciiTheme="minorHAnsi" w:hAnsiTheme="minorHAnsi" w:eastAsiaTheme="minorEastAsia" w:cstheme="minorBidi"/>
          <w:szCs w:val="22"/>
        </w:rPr>
      </w:pPr>
      <w:bookmarkStart w:id="1" w:name="_Toc256002110"/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TOC \o "1-2" \h \z \u </w:instrText>
      </w:r>
      <w:r>
        <w:rPr>
          <w:rFonts w:ascii="宋体" w:hAnsi="宋体"/>
          <w:sz w:val="24"/>
        </w:rPr>
        <w:fldChar w:fldCharType="separate"/>
      </w:r>
      <w:r>
        <w:fldChar w:fldCharType="begin"/>
      </w:r>
      <w:r>
        <w:instrText xml:space="preserve"> HYPERLINK \l "_Toc498607933" </w:instrText>
      </w:r>
      <w:r>
        <w:fldChar w:fldCharType="separate"/>
      </w:r>
      <w:r>
        <w:rPr>
          <w:rStyle w:val="44"/>
          <w:rFonts w:hint="eastAsia"/>
        </w:rPr>
        <w:t>一、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平台使用环境准备</w:t>
      </w:r>
      <w:r>
        <w:tab/>
      </w:r>
      <w:r>
        <w:fldChar w:fldCharType="begin"/>
      </w:r>
      <w:r>
        <w:instrText xml:space="preserve"> PAGEREF _Toc498607933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"_Toc498607934" </w:instrText>
      </w:r>
      <w:r>
        <w:fldChar w:fldCharType="separate"/>
      </w:r>
      <w:r>
        <w:rPr>
          <w:rStyle w:val="44"/>
          <w:rFonts w:hint="eastAsia"/>
        </w:rPr>
        <w:t>1.1、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_Toc498607934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"_Toc498607938" </w:instrText>
      </w:r>
      <w:r>
        <w:fldChar w:fldCharType="separate"/>
      </w:r>
      <w:r>
        <w:rPr>
          <w:rStyle w:val="44"/>
          <w:rFonts w:hint="eastAsia"/>
        </w:rPr>
        <w:t>1.2、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_Toc498607938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"_Toc498607939" </w:instrText>
      </w:r>
      <w:r>
        <w:fldChar w:fldCharType="separate"/>
      </w:r>
      <w:r>
        <w:rPr>
          <w:rStyle w:val="44"/>
          <w:rFonts w:hint="eastAsia"/>
        </w:rPr>
        <w:t>1.3、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_Toc498607939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"_Toc498607940" </w:instrText>
      </w:r>
      <w:r>
        <w:fldChar w:fldCharType="separate"/>
      </w:r>
      <w:r>
        <w:rPr>
          <w:rStyle w:val="44"/>
          <w:rFonts w:hint="eastAsia"/>
        </w:rPr>
        <w:t>1.4、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_Toc498607940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"_Toc498607941" </w:instrText>
      </w:r>
      <w:r>
        <w:fldChar w:fldCharType="separate"/>
      </w:r>
      <w:r>
        <w:rPr>
          <w:rStyle w:val="44"/>
          <w:rFonts w:hint="eastAsia"/>
        </w:rPr>
        <w:t>二、业务管理</w:t>
      </w:r>
      <w:r>
        <w:tab/>
      </w:r>
      <w:r>
        <w:fldChar w:fldCharType="begin"/>
      </w:r>
      <w:r>
        <w:instrText xml:space="preserve"> PAGEREF _Toc498607941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"_Toc498607942" </w:instrText>
      </w:r>
      <w:r>
        <w:fldChar w:fldCharType="separate"/>
      </w:r>
      <w:r>
        <w:rPr>
          <w:rStyle w:val="44"/>
        </w:rPr>
        <w:t>2.1</w:t>
      </w:r>
      <w:r>
        <w:rPr>
          <w:rStyle w:val="44"/>
          <w:rFonts w:hint="eastAsia"/>
        </w:rPr>
        <w:t>、登录会员</w:t>
      </w:r>
      <w:r>
        <w:tab/>
      </w:r>
      <w:r>
        <w:fldChar w:fldCharType="begin"/>
      </w:r>
      <w:r>
        <w:instrText xml:space="preserve"> PAGEREF _Toc498607942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"_Toc498607943" </w:instrText>
      </w:r>
      <w:r>
        <w:fldChar w:fldCharType="separate"/>
      </w:r>
      <w:r>
        <w:rPr>
          <w:rStyle w:val="44"/>
        </w:rPr>
        <w:t>2.2</w:t>
      </w:r>
      <w:r>
        <w:rPr>
          <w:rStyle w:val="44"/>
          <w:rFonts w:hint="eastAsia"/>
        </w:rPr>
        <w:t>、投标报名</w:t>
      </w:r>
      <w:r>
        <w:tab/>
      </w:r>
      <w:r>
        <w:fldChar w:fldCharType="begin"/>
      </w:r>
      <w:r>
        <w:instrText xml:space="preserve"> PAGEREF _Toc498607943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"_Toc498607944" </w:instrText>
      </w:r>
      <w:r>
        <w:fldChar w:fldCharType="separate"/>
      </w:r>
      <w:r>
        <w:rPr>
          <w:rStyle w:val="44"/>
        </w:rPr>
        <w:t>2.3</w:t>
      </w:r>
      <w:r>
        <w:rPr>
          <w:rStyle w:val="44"/>
          <w:rFonts w:hint="eastAsia"/>
        </w:rPr>
        <w:t>、邀请函确认</w:t>
      </w:r>
      <w:r>
        <w:tab/>
      </w:r>
      <w:r>
        <w:fldChar w:fldCharType="begin"/>
      </w:r>
      <w:r>
        <w:instrText xml:space="preserve"> PAGEREF _Toc498607944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"_Toc498607945" </w:instrText>
      </w:r>
      <w:r>
        <w:fldChar w:fldCharType="separate"/>
      </w:r>
      <w:r>
        <w:rPr>
          <w:rStyle w:val="44"/>
        </w:rPr>
        <w:t>2.4</w:t>
      </w:r>
      <w:r>
        <w:rPr>
          <w:rStyle w:val="44"/>
          <w:rFonts w:hint="eastAsia"/>
        </w:rPr>
        <w:t>、资审文件下载</w:t>
      </w:r>
      <w:r>
        <w:tab/>
      </w:r>
      <w:r>
        <w:fldChar w:fldCharType="begin"/>
      </w:r>
      <w:r>
        <w:instrText xml:space="preserve"> PAGEREF _Toc498607945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"_Toc498607946" </w:instrText>
      </w:r>
      <w:r>
        <w:fldChar w:fldCharType="separate"/>
      </w:r>
      <w:r>
        <w:rPr>
          <w:rStyle w:val="44"/>
        </w:rPr>
        <w:t>2.5</w:t>
      </w:r>
      <w:r>
        <w:rPr>
          <w:rStyle w:val="44"/>
          <w:rFonts w:hint="eastAsia"/>
        </w:rPr>
        <w:t>、招标文件下载</w:t>
      </w:r>
      <w:r>
        <w:tab/>
      </w:r>
      <w:r>
        <w:fldChar w:fldCharType="begin"/>
      </w:r>
      <w:r>
        <w:instrText xml:space="preserve"> PAGEREF _Toc498607946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"_Toc498607947" </w:instrText>
      </w:r>
      <w:r>
        <w:fldChar w:fldCharType="separate"/>
      </w:r>
      <w:r>
        <w:rPr>
          <w:rStyle w:val="44"/>
        </w:rPr>
        <w:t>2.6</w:t>
      </w:r>
      <w:r>
        <w:rPr>
          <w:rStyle w:val="44"/>
          <w:rFonts w:hint="eastAsia"/>
        </w:rPr>
        <w:t>、网上提问</w:t>
      </w:r>
      <w:r>
        <w:tab/>
      </w:r>
      <w:r>
        <w:fldChar w:fldCharType="begin"/>
      </w:r>
      <w:r>
        <w:instrText xml:space="preserve"> PAGEREF _Toc498607947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"_Toc498607948" </w:instrText>
      </w:r>
      <w:r>
        <w:fldChar w:fldCharType="separate"/>
      </w:r>
      <w:r>
        <w:rPr>
          <w:rStyle w:val="44"/>
        </w:rPr>
        <w:t>2.7</w:t>
      </w:r>
      <w:r>
        <w:rPr>
          <w:rStyle w:val="44"/>
          <w:rFonts w:hint="eastAsia"/>
        </w:rPr>
        <w:t>、答疑文件下载</w:t>
      </w:r>
      <w:r>
        <w:tab/>
      </w:r>
      <w:r>
        <w:fldChar w:fldCharType="begin"/>
      </w:r>
      <w:r>
        <w:instrText xml:space="preserve"> PAGEREF _Toc498607948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"_Toc498607949" </w:instrText>
      </w:r>
      <w:r>
        <w:fldChar w:fldCharType="separate"/>
      </w:r>
      <w:r>
        <w:rPr>
          <w:rStyle w:val="44"/>
        </w:rPr>
        <w:t>2.8</w:t>
      </w:r>
      <w:r>
        <w:rPr>
          <w:rStyle w:val="44"/>
          <w:rFonts w:hint="eastAsia"/>
        </w:rPr>
        <w:t>、控制价文件领取</w:t>
      </w:r>
      <w:r>
        <w:tab/>
      </w:r>
      <w:r>
        <w:fldChar w:fldCharType="begin"/>
      </w:r>
      <w:r>
        <w:instrText xml:space="preserve"> PAGEREF _Toc498607949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"_Toc498607950" </w:instrText>
      </w:r>
      <w:r>
        <w:fldChar w:fldCharType="separate"/>
      </w:r>
      <w:r>
        <w:rPr>
          <w:rStyle w:val="44"/>
        </w:rPr>
        <w:t>2.9</w:t>
      </w:r>
      <w:r>
        <w:rPr>
          <w:rStyle w:val="44"/>
          <w:rFonts w:hint="eastAsia"/>
        </w:rPr>
        <w:t>、上传投标文件</w:t>
      </w:r>
      <w:r>
        <w:tab/>
      </w:r>
      <w:r>
        <w:fldChar w:fldCharType="begin"/>
      </w:r>
      <w:r>
        <w:instrText xml:space="preserve"> PAGEREF _Toc498607950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"_Toc498607951" </w:instrText>
      </w:r>
      <w:r>
        <w:fldChar w:fldCharType="separate"/>
      </w:r>
      <w:r>
        <w:rPr>
          <w:rStyle w:val="44"/>
          <w:rFonts w:hint="eastAsia"/>
        </w:rPr>
        <w:t>三、业务查询</w:t>
      </w:r>
      <w:r>
        <w:tab/>
      </w:r>
      <w:r>
        <w:fldChar w:fldCharType="begin"/>
      </w:r>
      <w:r>
        <w:instrText xml:space="preserve"> PAGEREF _Toc498607951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"_Toc498607952" </w:instrText>
      </w:r>
      <w:r>
        <w:fldChar w:fldCharType="separate"/>
      </w:r>
      <w:r>
        <w:rPr>
          <w:rStyle w:val="44"/>
        </w:rPr>
        <w:t>3.1</w:t>
      </w:r>
      <w:r>
        <w:rPr>
          <w:rStyle w:val="44"/>
          <w:rFonts w:hint="eastAsia"/>
        </w:rPr>
        <w:t>、查看资审结果</w:t>
      </w:r>
      <w:r>
        <w:tab/>
      </w:r>
      <w:r>
        <w:fldChar w:fldCharType="begin"/>
      </w:r>
      <w:r>
        <w:instrText xml:space="preserve"> PAGEREF _Toc498607952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"_Toc498607953" </w:instrText>
      </w:r>
      <w:r>
        <w:fldChar w:fldCharType="separate"/>
      </w:r>
      <w:r>
        <w:rPr>
          <w:rStyle w:val="44"/>
        </w:rPr>
        <w:t>3.2</w:t>
      </w:r>
      <w:r>
        <w:rPr>
          <w:rStyle w:val="44"/>
          <w:rFonts w:hint="eastAsia"/>
        </w:rPr>
        <w:t>、查看开标时间</w:t>
      </w:r>
      <w:r>
        <w:tab/>
      </w:r>
      <w:r>
        <w:fldChar w:fldCharType="begin"/>
      </w:r>
      <w:r>
        <w:instrText xml:space="preserve"> PAGEREF _Toc498607953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"_Toc498607954" </w:instrText>
      </w:r>
      <w:r>
        <w:fldChar w:fldCharType="separate"/>
      </w:r>
      <w:r>
        <w:rPr>
          <w:rStyle w:val="44"/>
        </w:rPr>
        <w:t>3.3</w:t>
      </w:r>
      <w:r>
        <w:rPr>
          <w:rStyle w:val="44"/>
          <w:rFonts w:hint="eastAsia"/>
        </w:rPr>
        <w:t>、查看保证金缴退</w:t>
      </w:r>
      <w:r>
        <w:tab/>
      </w:r>
      <w:r>
        <w:fldChar w:fldCharType="begin"/>
      </w:r>
      <w:r>
        <w:instrText xml:space="preserve"> PAGEREF _Toc498607954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"_Toc498607955" </w:instrText>
      </w:r>
      <w:r>
        <w:fldChar w:fldCharType="separate"/>
      </w:r>
      <w:r>
        <w:rPr>
          <w:rStyle w:val="44"/>
        </w:rPr>
        <w:t>3.4</w:t>
      </w:r>
      <w:r>
        <w:rPr>
          <w:rStyle w:val="44"/>
          <w:rFonts w:hint="eastAsia"/>
        </w:rPr>
        <w:t>、查看在建工程</w:t>
      </w:r>
      <w:r>
        <w:tab/>
      </w:r>
      <w:r>
        <w:fldChar w:fldCharType="begin"/>
      </w:r>
      <w:r>
        <w:instrText xml:space="preserve"> PAGEREF _Toc498607955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"_Toc498607956" </w:instrText>
      </w:r>
      <w:r>
        <w:fldChar w:fldCharType="separate"/>
      </w:r>
      <w:r>
        <w:rPr>
          <w:rStyle w:val="44"/>
        </w:rPr>
        <w:t>3.5</w:t>
      </w:r>
      <w:r>
        <w:rPr>
          <w:rStyle w:val="44"/>
          <w:rFonts w:hint="eastAsia"/>
        </w:rPr>
        <w:t>、查看中标业绩</w:t>
      </w:r>
      <w:r>
        <w:tab/>
      </w:r>
      <w:r>
        <w:fldChar w:fldCharType="begin"/>
      </w:r>
      <w:r>
        <w:instrText xml:space="preserve"> PAGEREF _Toc498607956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"_Toc498607957" </w:instrText>
      </w:r>
      <w:r>
        <w:fldChar w:fldCharType="separate"/>
      </w:r>
      <w:r>
        <w:rPr>
          <w:rStyle w:val="44"/>
          <w:rFonts w:hint="eastAsia"/>
        </w:rPr>
        <w:t>四、安装工具</w:t>
      </w:r>
      <w:r>
        <w:tab/>
      </w:r>
      <w:r>
        <w:fldChar w:fldCharType="begin"/>
      </w:r>
      <w:r>
        <w:instrText xml:space="preserve"> PAGEREF _Toc498607957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"_Toc498607958" </w:instrText>
      </w:r>
      <w:r>
        <w:fldChar w:fldCharType="separate"/>
      </w:r>
      <w:r>
        <w:rPr>
          <w:rStyle w:val="44"/>
          <w:rFonts w:hint="eastAsia" w:ascii="Cambria" w:hAnsi="Cambria"/>
        </w:rPr>
        <w:t>五、制作工程投标文件</w:t>
      </w:r>
      <w:r>
        <w:tab/>
      </w:r>
      <w:r>
        <w:fldChar w:fldCharType="begin"/>
      </w:r>
      <w:r>
        <w:instrText xml:space="preserve"> PAGEREF _Toc498607958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"_Toc498607959" </w:instrText>
      </w:r>
      <w:r>
        <w:fldChar w:fldCharType="separate"/>
      </w:r>
      <w:r>
        <w:rPr>
          <w:rStyle w:val="44"/>
        </w:rPr>
        <w:t>5.1</w:t>
      </w:r>
      <w:r>
        <w:rPr>
          <w:rStyle w:val="44"/>
          <w:rFonts w:hint="eastAsia"/>
        </w:rPr>
        <w:t>、双击打开投标工具</w:t>
      </w:r>
      <w:r>
        <w:tab/>
      </w:r>
      <w:r>
        <w:fldChar w:fldCharType="begin"/>
      </w:r>
      <w:r>
        <w:instrText xml:space="preserve"> PAGEREF _Toc498607959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"_Toc498607960" </w:instrText>
      </w:r>
      <w:r>
        <w:fldChar w:fldCharType="separate"/>
      </w:r>
      <w:r>
        <w:rPr>
          <w:rStyle w:val="44"/>
        </w:rPr>
        <w:t>5.2</w:t>
      </w:r>
      <w:r>
        <w:rPr>
          <w:rStyle w:val="44"/>
          <w:rFonts w:hint="eastAsia"/>
        </w:rPr>
        <w:t>、新建投标项目</w:t>
      </w:r>
      <w:r>
        <w:tab/>
      </w:r>
      <w:r>
        <w:fldChar w:fldCharType="begin"/>
      </w:r>
      <w:r>
        <w:instrText xml:space="preserve"> PAGEREF _Toc498607960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"_Toc498607961" </w:instrText>
      </w:r>
      <w:r>
        <w:fldChar w:fldCharType="separate"/>
      </w:r>
      <w:r>
        <w:rPr>
          <w:rStyle w:val="44"/>
        </w:rPr>
        <w:t>5.3</w:t>
      </w:r>
      <w:r>
        <w:rPr>
          <w:rStyle w:val="44"/>
          <w:rFonts w:hint="eastAsia"/>
        </w:rPr>
        <w:t>、编制项目投标文件</w:t>
      </w:r>
      <w:r>
        <w:tab/>
      </w:r>
      <w:r>
        <w:fldChar w:fldCharType="begin"/>
      </w:r>
      <w:r>
        <w:instrText xml:space="preserve"> PAGEREF _Toc498607961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  <w:szCs w:val="32"/>
        </w:rPr>
        <w:fldChar w:fldCharType="end"/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/>
    <w:p>
      <w:pPr>
        <w:pStyle w:val="2"/>
        <w:numPr>
          <w:ilvl w:val="0"/>
          <w:numId w:val="0"/>
        </w:numPr>
      </w:pPr>
      <w:bookmarkStart w:id="2" w:name="_Toc498607941"/>
      <w:r>
        <w:rPr>
          <w:rFonts w:hint="eastAsia"/>
        </w:rPr>
        <w:t>一、业务管理</w:t>
      </w:r>
      <w:bookmarkEnd w:id="1"/>
      <w:bookmarkEnd w:id="2"/>
    </w:p>
    <w:p>
      <w:pPr>
        <w:pStyle w:val="3"/>
        <w:numPr>
          <w:ilvl w:val="0"/>
          <w:numId w:val="0"/>
        </w:numPr>
      </w:pPr>
      <w:bookmarkStart w:id="3" w:name="_Toc256002111"/>
      <w:bookmarkStart w:id="4" w:name="_Toc498607942"/>
      <w:r>
        <w:rPr>
          <w:rFonts w:hint="eastAsia"/>
        </w:rPr>
        <w:t>1</w:t>
      </w:r>
      <w:r>
        <w:t>.1</w:t>
      </w:r>
      <w:r>
        <w:rPr>
          <w:rFonts w:hint="eastAsia"/>
        </w:rPr>
        <w:t>、登录会员</w:t>
      </w:r>
      <w:bookmarkEnd w:id="3"/>
      <w:bookmarkEnd w:id="4"/>
    </w:p>
    <w:p>
      <w:pPr>
        <w:spacing w:line="360" w:lineRule="auto"/>
        <w:ind w:firstLine="420" w:firstLineChars="200"/>
        <w:rPr>
          <w:sz w:val="24"/>
        </w:rPr>
      </w:pPr>
      <w:r>
        <w:rPr>
          <w:szCs w:val="21"/>
        </w:rPr>
        <w:t>1</w:t>
      </w:r>
      <w:r>
        <w:t>、</w:t>
      </w:r>
      <w:r>
        <w:rPr>
          <w:rFonts w:hint="eastAsia" w:ascii="宋体" w:hAnsi="宋体"/>
          <w:szCs w:val="21"/>
        </w:rPr>
        <w:t>登录“南通市公共资源交易平台网站（</w:t>
      </w:r>
      <w:r>
        <w:rPr>
          <w:rFonts w:ascii="宋体" w:hAnsi="宋体"/>
          <w:szCs w:val="21"/>
        </w:rPr>
        <w:t>http://ggzyjy.n</w:t>
      </w:r>
      <w:r>
        <w:rPr>
          <w:rFonts w:hint="eastAsia" w:ascii="宋体" w:hAnsi="宋体"/>
          <w:szCs w:val="21"/>
          <w:lang w:val="en-US" w:eastAsia="zh-CN"/>
        </w:rPr>
        <w:t>antong</w:t>
      </w:r>
      <w:r>
        <w:rPr>
          <w:rFonts w:ascii="宋体" w:hAnsi="宋体"/>
          <w:szCs w:val="21"/>
        </w:rPr>
        <w:t>.gov.cn/</w:t>
      </w:r>
      <w:r>
        <w:rPr>
          <w:rFonts w:hint="eastAsia" w:ascii="宋体" w:hAnsi="宋体"/>
          <w:szCs w:val="21"/>
        </w:rPr>
        <w:t>）”，找到主体登录---</w:t>
      </w:r>
      <w:r>
        <w:rPr>
          <w:rFonts w:hint="eastAsia" w:ascii="宋体" w:hAnsi="宋体"/>
          <w:szCs w:val="21"/>
          <w:lang w:val="en-US" w:eastAsia="zh-CN"/>
        </w:rPr>
        <w:t>投标人</w:t>
      </w:r>
      <w:r>
        <w:rPr>
          <w:rFonts w:hint="eastAsia" w:ascii="宋体" w:hAnsi="宋体"/>
          <w:szCs w:val="21"/>
        </w:rPr>
        <w:t>登录，后显示如下图</w:t>
      </w:r>
      <w:r>
        <w:rPr>
          <w:rFonts w:hint="eastAsia"/>
          <w:sz w:val="24"/>
        </w:rPr>
        <w:t>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6690" cy="27101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486400" cy="22288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输入用户名和密码点击OK（如果有CA锁，则插入锁点击证书Key登录）。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、</w:t>
      </w:r>
      <w:r>
        <w:rPr>
          <w:rFonts w:hint="eastAsia"/>
          <w:szCs w:val="21"/>
        </w:rPr>
        <w:t>成功登录后，如下图。</w:t>
      </w:r>
    </w:p>
    <w:p>
      <w:r>
        <w:drawing>
          <wp:inline distT="0" distB="0" distL="0" distR="0">
            <wp:extent cx="5486400" cy="18573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</w:pPr>
      <w:r>
        <w:rPr>
          <w:rFonts w:hint="eastAsia"/>
        </w:rPr>
        <w:t>3、挑选正确的主体类型，投标人一般选择项目响应方。点击后即可进入会员系统。</w:t>
      </w:r>
    </w:p>
    <w:p>
      <w:r>
        <w:drawing>
          <wp:inline distT="0" distB="0" distL="0" distR="0">
            <wp:extent cx="5495925" cy="22764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</w:pPr>
      <w:bookmarkStart w:id="5" w:name="_Toc498607943"/>
      <w:bookmarkStart w:id="6" w:name="_Toc256002112"/>
      <w:r>
        <w:rPr>
          <w:rFonts w:hint="eastAsia"/>
        </w:rPr>
        <w:t>1</w:t>
      </w:r>
      <w:r>
        <w:t>.2</w:t>
      </w:r>
      <w:r>
        <w:rPr>
          <w:rFonts w:hint="eastAsia"/>
        </w:rPr>
        <w:t>、投标报名</w:t>
      </w:r>
      <w:bookmarkEnd w:id="5"/>
      <w:bookmarkEnd w:id="6"/>
    </w:p>
    <w:p>
      <w:pPr>
        <w:pStyle w:val="56"/>
        <w:spacing w:line="360" w:lineRule="auto"/>
      </w:pPr>
      <w:r>
        <w:rPr>
          <w:rFonts w:hint="eastAsia"/>
          <w:szCs w:val="21"/>
        </w:rPr>
        <w:t>1</w:t>
      </w:r>
      <w:r>
        <w:rPr>
          <w:szCs w:val="21"/>
        </w:rPr>
        <w:t>、</w:t>
      </w:r>
      <w:r>
        <w:rPr>
          <w:rFonts w:hint="eastAsia"/>
          <w:szCs w:val="21"/>
        </w:rPr>
        <w:t>会</w:t>
      </w:r>
      <w:r>
        <w:rPr>
          <w:rFonts w:hint="eastAsia" w:ascii="宋体" w:hAnsi="宋体"/>
          <w:szCs w:val="21"/>
        </w:rPr>
        <w:t>员首先确定自己所报名的项目是资格预审还是后审的项目，如果是预审项目，找到</w:t>
      </w:r>
      <w:r>
        <w:drawing>
          <wp:inline distT="0" distB="0" distL="0" distR="0">
            <wp:extent cx="1238250" cy="2000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模块</w:t>
      </w:r>
      <w:r>
        <w:rPr>
          <w:rFonts w:hint="eastAsia"/>
        </w:rPr>
        <w:t>，找到自己需要投标的项目，点击领取按钮。</w:t>
      </w:r>
    </w:p>
    <w:p>
      <w:pPr>
        <w:pStyle w:val="56"/>
        <w:spacing w:line="360" w:lineRule="auto"/>
        <w:ind w:firstLine="0" w:firstLineChars="0"/>
        <w:rPr>
          <w:rFonts w:ascii="宋体" w:hAnsi="宋体"/>
          <w:b/>
          <w:szCs w:val="21"/>
        </w:rPr>
      </w:pPr>
      <w:r>
        <w:drawing>
          <wp:inline distT="0" distB="0" distL="0" distR="0">
            <wp:extent cx="5476875" cy="211455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56"/>
        <w:numPr>
          <w:ilvl w:val="0"/>
          <w:numId w:val="2"/>
        </w:numPr>
        <w:spacing w:line="360" w:lineRule="auto"/>
        <w:rPr>
          <w:rFonts w:hint="eastAsia"/>
          <w:szCs w:val="21"/>
          <w:lang w:val="en-US" w:eastAsia="zh-CN"/>
        </w:rPr>
      </w:pPr>
      <w:r>
        <w:rPr>
          <w:szCs w:val="21"/>
        </w:rPr>
        <w:t>在跳出页面中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  <w:lang w:val="en-US" w:eastAsia="zh-CN"/>
        </w:rPr>
        <w:t>下载即可领取资审文件，领取文件成功即资审报名成功</w:t>
      </w:r>
    </w:p>
    <w:p>
      <w:pPr>
        <w:pStyle w:val="56"/>
        <w:numPr>
          <w:ilvl w:val="0"/>
          <w:numId w:val="0"/>
        </w:numPr>
        <w:spacing w:line="360" w:lineRule="auto"/>
        <w:rPr>
          <w:rFonts w:hint="default"/>
          <w:szCs w:val="21"/>
          <w:lang w:val="en-US" w:eastAsia="zh-CN"/>
        </w:rPr>
      </w:pPr>
      <w:r>
        <w:drawing>
          <wp:inline distT="0" distB="0" distL="114300" distR="114300">
            <wp:extent cx="5266690" cy="2433320"/>
            <wp:effectExtent l="0" t="0" r="1016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jc w:val="left"/>
      </w:pPr>
    </w:p>
    <w:p>
      <w:pPr>
        <w:pStyle w:val="94"/>
        <w:spacing w:line="360" w:lineRule="auto"/>
        <w:ind w:firstLine="0" w:firstLineChars="0"/>
        <w:jc w:val="left"/>
        <w:rPr>
          <w:rFonts w:ascii="宋体" w:hAnsi="宋体"/>
        </w:rPr>
      </w:pPr>
    </w:p>
    <w:p>
      <w:pPr>
        <w:pStyle w:val="94"/>
        <w:spacing w:line="360" w:lineRule="auto"/>
        <w:ind w:left="420" w:firstLine="420" w:firstLineChars="200"/>
        <w:jc w:val="left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5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点击“打印回执码”，可以查看报名确认单，保证金缴纳码；</w:t>
      </w:r>
    </w:p>
    <w:p>
      <w:pPr>
        <w:pStyle w:val="9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5276850" cy="12287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6、如果是资格后审的项目，投标单位不需进行投标报名操作，直接找到招标文件领取模块，找到自己所需要投标的标段，点击领取按钮，领取招标文件。</w:t>
      </w:r>
    </w:p>
    <w:p>
      <w:pPr>
        <w:pStyle w:val="56"/>
        <w:spacing w:line="360" w:lineRule="auto"/>
        <w:rPr>
          <w:rFonts w:ascii="宋体" w:hAnsi="宋体"/>
          <w:b/>
          <w:szCs w:val="21"/>
        </w:rPr>
      </w:pPr>
      <w:r>
        <w:drawing>
          <wp:inline distT="0" distB="0" distL="0" distR="0">
            <wp:extent cx="5495925" cy="210502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3"/>
        <w:numPr>
          <w:ilvl w:val="0"/>
          <w:numId w:val="0"/>
        </w:numPr>
      </w:pPr>
      <w:bookmarkStart w:id="7" w:name="_Toc498607944"/>
      <w:r>
        <w:rPr>
          <w:rFonts w:hint="eastAsia"/>
        </w:rPr>
        <w:t>1</w:t>
      </w:r>
      <w:r>
        <w:t>.</w:t>
      </w:r>
      <w:r>
        <w:rPr>
          <w:rFonts w:hint="eastAsia"/>
        </w:rPr>
        <w:t>3、邀请函确认</w:t>
      </w:r>
      <w:bookmarkEnd w:id="7"/>
    </w:p>
    <w:p>
      <w:pPr>
        <w:pStyle w:val="56"/>
        <w:spacing w:line="360" w:lineRule="auto"/>
        <w:ind w:firstLineChars="0"/>
        <w:rPr>
          <w:b/>
          <w:szCs w:val="21"/>
        </w:rPr>
      </w:pPr>
      <w:r>
        <w:rPr>
          <w:rFonts w:hint="eastAsia"/>
          <w:szCs w:val="21"/>
        </w:rPr>
        <w:t>对于邀请招标的标段需要确认邀请函。</w:t>
      </w:r>
    </w:p>
    <w:p>
      <w:pPr>
        <w:pStyle w:val="94"/>
        <w:spacing w:line="360" w:lineRule="auto"/>
        <w:ind w:firstLine="0" w:firstLineChars="0"/>
        <w:jc w:val="left"/>
        <w:rPr>
          <w:rFonts w:ascii="宋体" w:hAnsi="宋体"/>
          <w:szCs w:val="21"/>
        </w:rPr>
      </w:pPr>
      <w:r>
        <w:drawing>
          <wp:inline distT="0" distB="0" distL="0" distR="0">
            <wp:extent cx="5486400" cy="159067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352425" cy="21907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，进入确认页面，然后选择项目负责人，如果参加招标，点击“确认参加”；如果不参加招标，点击“确认不参加”。</w:t>
      </w:r>
    </w:p>
    <w:p>
      <w:pPr>
        <w:pStyle w:val="94"/>
        <w:spacing w:line="360" w:lineRule="auto"/>
        <w:ind w:firstLine="0" w:firstLineChars="0"/>
        <w:jc w:val="left"/>
        <w:rPr>
          <w:rFonts w:ascii="宋体" w:hAnsi="宋体"/>
          <w:szCs w:val="21"/>
        </w:rPr>
      </w:pPr>
      <w:r>
        <w:drawing>
          <wp:inline distT="0" distB="0" distL="0" distR="0">
            <wp:extent cx="5486400" cy="280035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如果参加招标，列表中状态从“未确认”转为“确认参加”状态。</w:t>
      </w:r>
    </w:p>
    <w:p>
      <w:pPr>
        <w:pStyle w:val="94"/>
        <w:ind w:firstLine="0" w:firstLineChars="0"/>
        <w:jc w:val="left"/>
        <w:rPr>
          <w:rFonts w:ascii="宋体" w:hAnsi="宋体"/>
          <w:szCs w:val="21"/>
        </w:rPr>
      </w:pPr>
      <w:r>
        <w:drawing>
          <wp:inline distT="0" distB="0" distL="0" distR="0">
            <wp:extent cx="5486400" cy="154305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8" w:name="_Toc256002114"/>
      <w:bookmarkStart w:id="9" w:name="_Toc498607945"/>
      <w:r>
        <w:rPr>
          <w:rFonts w:hint="eastAsia"/>
        </w:rPr>
        <w:t>1</w:t>
      </w:r>
      <w:r>
        <w:t>.</w:t>
      </w:r>
      <w:r>
        <w:rPr>
          <w:rFonts w:hint="eastAsia"/>
        </w:rPr>
        <w:t>4、资审文件下载</w:t>
      </w:r>
      <w:bookmarkEnd w:id="8"/>
      <w:bookmarkEnd w:id="9"/>
    </w:p>
    <w:p>
      <w:pPr>
        <w:pStyle w:val="94"/>
        <w:ind w:left="36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该页面中列出资审文件下载列表。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76875" cy="173355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09550" cy="180975"/>
            <wp:effectExtent l="0" t="0" r="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，可以领取对应标段的资审文件。</w:t>
      </w:r>
    </w:p>
    <w:p>
      <w:pPr>
        <w:pStyle w:val="94"/>
        <w:spacing w:line="360" w:lineRule="auto"/>
        <w:ind w:firstLine="0" w:firstLineChars="0"/>
      </w:pPr>
      <w:r>
        <w:drawing>
          <wp:inline distT="0" distB="0" distL="0" distR="0">
            <wp:extent cx="5486400" cy="215265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资审文件领取后，记录从“未领取”转为“已领取”。</w:t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324475" cy="1524000"/>
            <wp:effectExtent l="0" t="0" r="952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（注：对于没有审核通过的资审文件备案，不能下载资审文件）</w:t>
      </w:r>
    </w:p>
    <w:p>
      <w:pPr>
        <w:pStyle w:val="94"/>
        <w:spacing w:line="360" w:lineRule="auto"/>
        <w:ind w:firstLine="0" w:firstLineChars="0"/>
        <w:jc w:val="left"/>
      </w:pPr>
    </w:p>
    <w:p>
      <w:pPr>
        <w:pStyle w:val="94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3"/>
        <w:numPr>
          <w:ilvl w:val="0"/>
          <w:numId w:val="0"/>
        </w:numPr>
      </w:pPr>
      <w:bookmarkStart w:id="10" w:name="_Toc256002113"/>
      <w:bookmarkStart w:id="11" w:name="_Toc498607946"/>
      <w:r>
        <w:rPr>
          <w:rFonts w:hint="eastAsia"/>
        </w:rPr>
        <w:t>1</w:t>
      </w:r>
      <w:r>
        <w:t>.</w:t>
      </w:r>
      <w:r>
        <w:rPr>
          <w:rFonts w:hint="eastAsia"/>
        </w:rPr>
        <w:t>5、招标文件下载</w:t>
      </w:r>
      <w:bookmarkEnd w:id="10"/>
      <w:bookmarkEnd w:id="11"/>
    </w:p>
    <w:p>
      <w:pPr>
        <w:pStyle w:val="56"/>
        <w:spacing w:line="360" w:lineRule="auto"/>
        <w:ind w:firstLineChars="0"/>
        <w:rPr>
          <w:b/>
          <w:szCs w:val="21"/>
        </w:rPr>
      </w:pPr>
      <w:r>
        <w:rPr>
          <w:rFonts w:hint="eastAsia"/>
          <w:szCs w:val="21"/>
        </w:rPr>
        <w:t>该页面中列出招标文件下载列表。</w:t>
      </w:r>
    </w:p>
    <w:p>
      <w:pPr>
        <w:pStyle w:val="94"/>
        <w:spacing w:line="360" w:lineRule="auto"/>
        <w:ind w:firstLine="0" w:firstLineChars="0"/>
      </w:pPr>
      <w:r>
        <w:drawing>
          <wp:inline distT="0" distB="0" distL="0" distR="0">
            <wp:extent cx="5495925" cy="16573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85750" cy="26670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，进入对应</w:t>
      </w:r>
      <w:r>
        <w:rPr>
          <w:rFonts w:hint="eastAsia" w:ascii="宋体" w:hAnsi="宋体"/>
          <w:sz w:val="21"/>
          <w:szCs w:val="21"/>
          <w:lang w:val="en-US" w:eastAsia="zh-CN"/>
        </w:rPr>
        <w:t>工具使用费</w:t>
      </w:r>
      <w:r>
        <w:rPr>
          <w:rFonts w:hint="eastAsia" w:ascii="宋体" w:hAnsi="宋体"/>
          <w:sz w:val="21"/>
          <w:szCs w:val="21"/>
        </w:rPr>
        <w:t>支付页面，网上支付完成后</w:t>
      </w:r>
      <w:r>
        <w:rPr>
          <w:rFonts w:hint="eastAsia" w:ascii="宋体" w:hAnsi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/>
          <w:color w:val="FF0000"/>
          <w:sz w:val="21"/>
          <w:szCs w:val="21"/>
          <w:lang w:val="en-US" w:eastAsia="zh-CN"/>
        </w:rPr>
        <w:t>工具使用费为90元整</w:t>
      </w:r>
      <w:r>
        <w:rPr>
          <w:rFonts w:hint="eastAsia" w:ascii="宋体" w:hAnsi="宋体"/>
          <w:color w:val="FF0000"/>
          <w:sz w:val="21"/>
          <w:szCs w:val="21"/>
          <w:lang w:eastAsia="zh-CN"/>
        </w:rPr>
        <w:t>）</w:t>
      </w:r>
      <w:r>
        <w:rPr>
          <w:rFonts w:hint="eastAsia" w:ascii="宋体" w:hAnsi="宋体"/>
          <w:sz w:val="21"/>
          <w:szCs w:val="21"/>
        </w:rPr>
        <w:t>，可以下载招标文件。</w:t>
      </w:r>
    </w:p>
    <w:p>
      <w:pPr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、</w:t>
      </w:r>
      <w:r>
        <w:rPr>
          <w:rFonts w:hint="eastAsia" w:ascii="宋体" w:hAnsi="宋体"/>
          <w:szCs w:val="21"/>
        </w:rPr>
        <w:t>点击</w:t>
      </w:r>
      <w:r>
        <w:drawing>
          <wp:inline distT="0" distB="0" distL="0" distR="0">
            <wp:extent cx="1000125" cy="590550"/>
            <wp:effectExtent l="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，选择对应的支付方式，点击确认支付按钮，转到对应支付界面 </w:t>
      </w:r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7960" cy="2247265"/>
            <wp:effectExtent l="0" t="0" r="8890" b="635"/>
            <wp:docPr id="9" name="图片 9" descr="OK$[T@5Y}HM92L33`A15I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K$[T@5Y}HM92L33`A15I7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4145" cy="1581150"/>
            <wp:effectExtent l="0" t="0" r="14605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0" w:name="_GoBack"/>
      <w:bookmarkEnd w:id="40"/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点击“去网上银行支付”</w:t>
      </w:r>
      <w:r>
        <w:rPr>
          <w:rFonts w:hint="eastAsia" w:ascii="宋体" w:hAnsi="宋体"/>
          <w:sz w:val="21"/>
          <w:szCs w:val="21"/>
        </w:rPr>
        <w:t>，支付相关费用后下载招标文件。</w:t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3657600" cy="1447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952500" cy="49530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，点“我要下载”，可以下载招标文件。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57825" cy="2447925"/>
            <wp:effectExtent l="0" t="0" r="9525" b="9525"/>
            <wp:docPr id="28" name="图片 28" descr="J}DQ0Q_M~0%FNNS44WSI~{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J}DQ0Q_M~0%FNNS44WSI~{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5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招标文件</w:t>
      </w:r>
      <w:r>
        <w:rPr>
          <w:rFonts w:hint="eastAsia" w:ascii="宋体" w:hAnsi="宋体"/>
          <w:sz w:val="21"/>
          <w:szCs w:val="21"/>
        </w:rPr>
        <w:t>下载后，记录从“未领取”转为“已领取”。</w:t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486400" cy="1847850"/>
            <wp:effectExtent l="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（注：对于没有审核通过的招标文件备案，不能下载招标文件）</w:t>
      </w:r>
    </w:p>
    <w:p>
      <w:pPr>
        <w:pStyle w:val="94"/>
        <w:spacing w:line="360" w:lineRule="auto"/>
        <w:ind w:firstLine="0" w:firstLineChars="0"/>
      </w:pPr>
    </w:p>
    <w:p>
      <w:pPr>
        <w:pStyle w:val="3"/>
        <w:numPr>
          <w:ilvl w:val="0"/>
          <w:numId w:val="0"/>
        </w:numPr>
      </w:pPr>
      <w:bookmarkStart w:id="12" w:name="_Toc498607947"/>
      <w:r>
        <w:rPr>
          <w:rFonts w:hint="eastAsia"/>
        </w:rPr>
        <w:t>1</w:t>
      </w:r>
      <w:r>
        <w:t>.</w:t>
      </w:r>
      <w:r>
        <w:rPr>
          <w:rFonts w:hint="eastAsia"/>
        </w:rPr>
        <w:t>6、网上提问</w:t>
      </w:r>
      <w:bookmarkEnd w:id="12"/>
    </w:p>
    <w:p>
      <w:pPr>
        <w:pStyle w:val="94"/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该页面中列出网上提问记录。</w:t>
      </w:r>
    </w:p>
    <w:p>
      <w:pPr>
        <w:pStyle w:val="94"/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495925" cy="1400175"/>
            <wp:effectExtent l="0" t="0" r="9525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762000" cy="238125"/>
            <wp:effectExtent l="0" t="0" r="0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，对相关标段进行提问。</w:t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代理人员回复后，状态从“未解答”转为“已解答”。</w:t>
      </w:r>
    </w:p>
    <w:p>
      <w:pPr>
        <w:pStyle w:val="94"/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495925" cy="1485900"/>
            <wp:effectExtent l="0" t="0" r="952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409575" cy="257175"/>
            <wp:effectExtent l="0" t="0" r="9525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，可以查看答复内容。</w:t>
      </w:r>
    </w:p>
    <w:p>
      <w:pPr>
        <w:pStyle w:val="94"/>
        <w:ind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486400" cy="2657475"/>
            <wp:effectExtent l="0" t="0" r="0" b="952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</w:p>
    <w:p>
      <w:pPr>
        <w:pStyle w:val="3"/>
        <w:numPr>
          <w:ilvl w:val="0"/>
          <w:numId w:val="0"/>
        </w:numPr>
      </w:pPr>
      <w:bookmarkStart w:id="13" w:name="_Toc498607948"/>
      <w:r>
        <w:rPr>
          <w:rFonts w:hint="eastAsia"/>
        </w:rPr>
        <w:t>1</w:t>
      </w:r>
      <w:r>
        <w:t>.</w:t>
      </w:r>
      <w:r>
        <w:rPr>
          <w:rFonts w:hint="eastAsia"/>
        </w:rPr>
        <w:t>7、答疑文件下载</w:t>
      </w:r>
      <w:bookmarkEnd w:id="13"/>
    </w:p>
    <w:p>
      <w:pPr>
        <w:pStyle w:val="94"/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该页面中列出答疑文件领取列表。</w:t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486400" cy="1857375"/>
            <wp:effectExtent l="0" t="0" r="0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333375" cy="209550"/>
            <wp:effectExtent l="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，领取对应标段的变更答疑文件。</w:t>
      </w:r>
    </w:p>
    <w:p>
      <w:pPr>
        <w:pStyle w:val="94"/>
        <w:spacing w:line="360" w:lineRule="auto"/>
        <w:ind w:firstLine="0" w:firstLineChars="0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(</w:t>
      </w:r>
      <w:r>
        <w:rPr>
          <w:rFonts w:hint="eastAsia"/>
          <w:b/>
          <w:bCs/>
          <w:color w:val="FF0000"/>
          <w:sz w:val="21"/>
          <w:szCs w:val="21"/>
        </w:rPr>
        <w:t>注</w:t>
      </w:r>
      <w:r>
        <w:rPr>
          <w:rFonts w:hint="eastAsia"/>
          <w:b/>
          <w:color w:val="FF0000"/>
          <w:sz w:val="21"/>
          <w:szCs w:val="21"/>
        </w:rPr>
        <w:t>：先领取招标文件，再领取答疑文件)</w:t>
      </w:r>
    </w:p>
    <w:p>
      <w:pPr>
        <w:pStyle w:val="94"/>
        <w:ind w:firstLine="0" w:firstLineChars="0"/>
      </w:pP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76225" cy="257175"/>
            <wp:effectExtent l="0" t="0" r="952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，可以领取对应标段的变更答疑文件。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86400" cy="2143125"/>
            <wp:effectExtent l="0" t="0" r="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领取答疑文件后，记录从“未领取”转为“已领取”。</w:t>
      </w:r>
    </w:p>
    <w:p>
      <w:pPr>
        <w:pStyle w:val="94"/>
        <w:ind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486400" cy="1771650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  <w:rPr>
          <w:rFonts w:ascii="宋体" w:hAnsi="宋体"/>
          <w:szCs w:val="21"/>
        </w:rPr>
      </w:pPr>
    </w:p>
    <w:p>
      <w:pPr>
        <w:pStyle w:val="3"/>
        <w:numPr>
          <w:ilvl w:val="0"/>
          <w:numId w:val="0"/>
        </w:numPr>
      </w:pPr>
      <w:bookmarkStart w:id="14" w:name="_Toc498607949"/>
      <w:r>
        <w:rPr>
          <w:rFonts w:hint="eastAsia"/>
        </w:rPr>
        <w:t>1</w:t>
      </w:r>
      <w:r>
        <w:t>.</w:t>
      </w:r>
      <w:r>
        <w:rPr>
          <w:rFonts w:hint="eastAsia"/>
        </w:rPr>
        <w:t>8、控制价文件领取</w:t>
      </w:r>
      <w:bookmarkEnd w:id="14"/>
    </w:p>
    <w:p>
      <w:pPr>
        <w:pStyle w:val="94"/>
        <w:ind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该页面列出控制价文件列表。</w:t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486400" cy="1819275"/>
            <wp:effectExtent l="0" t="0" r="0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点击</w:t>
      </w:r>
      <w:r>
        <w:drawing>
          <wp:inline distT="0" distB="0" distL="0" distR="0">
            <wp:extent cx="314325" cy="257175"/>
            <wp:effectExtent l="0" t="0" r="9525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，可以领取控制价文件。</w:t>
      </w:r>
    </w:p>
    <w:p>
      <w:pPr>
        <w:pStyle w:val="94"/>
        <w:spacing w:line="360" w:lineRule="auto"/>
        <w:ind w:firstLine="0" w:firstLineChars="0"/>
        <w:rPr>
          <w:sz w:val="21"/>
          <w:szCs w:val="21"/>
        </w:rPr>
      </w:pPr>
      <w:r>
        <w:drawing>
          <wp:inline distT="0" distB="0" distL="0" distR="0">
            <wp:extent cx="5486400" cy="1962150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  <w:rPr>
          <w:rFonts w:ascii="宋体" w:hAnsi="宋体"/>
          <w:color w:val="FF0000"/>
          <w:sz w:val="21"/>
          <w:szCs w:val="21"/>
        </w:rPr>
      </w:pPr>
      <w:r>
        <w:rPr>
          <w:rFonts w:hint="eastAsia" w:ascii="宋体" w:hAnsi="宋体"/>
          <w:color w:val="FF0000"/>
          <w:sz w:val="21"/>
          <w:szCs w:val="21"/>
        </w:rPr>
        <w:t>（</w:t>
      </w:r>
      <w:r>
        <w:rPr>
          <w:rFonts w:hint="eastAsia" w:ascii="宋体" w:hAnsi="宋体"/>
          <w:b/>
          <w:bCs/>
          <w:color w:val="FF0000"/>
          <w:sz w:val="21"/>
          <w:szCs w:val="21"/>
        </w:rPr>
        <w:t>注</w:t>
      </w:r>
      <w:r>
        <w:rPr>
          <w:rFonts w:hint="eastAsia" w:ascii="宋体" w:hAnsi="宋体"/>
          <w:color w:val="FF0000"/>
          <w:sz w:val="21"/>
          <w:szCs w:val="21"/>
        </w:rPr>
        <w:t>：要求审核通过最高限价备案，方可下载控制价文件文件）</w:t>
      </w:r>
    </w:p>
    <w:p>
      <w:pPr>
        <w:pStyle w:val="94"/>
        <w:ind w:firstLine="0" w:firstLineChars="0"/>
        <w:rPr>
          <w:rFonts w:ascii="宋体" w:hAnsi="宋体"/>
          <w:szCs w:val="21"/>
        </w:rPr>
      </w:pP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</w:p>
    <w:p>
      <w:pPr>
        <w:pStyle w:val="3"/>
        <w:numPr>
          <w:ilvl w:val="0"/>
          <w:numId w:val="0"/>
        </w:numPr>
      </w:pPr>
      <w:bookmarkStart w:id="15" w:name="_Toc498607950"/>
      <w:r>
        <w:rPr>
          <w:rFonts w:hint="eastAsia"/>
        </w:rPr>
        <w:t>1</w:t>
      </w:r>
      <w:r>
        <w:t>.</w:t>
      </w:r>
      <w:r>
        <w:rPr>
          <w:rFonts w:hint="eastAsia"/>
        </w:rPr>
        <w:t>9、上传投标文件</w:t>
      </w:r>
      <w:bookmarkEnd w:id="15"/>
    </w:p>
    <w:p>
      <w:pPr>
        <w:pStyle w:val="94"/>
        <w:ind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该页面列出上传投标文件列表。</w:t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495925" cy="1781175"/>
            <wp:effectExtent l="0" t="0" r="9525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sz w:val="21"/>
          <w:szCs w:val="21"/>
        </w:rPr>
        <w:t>1</w:t>
      </w:r>
      <w: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28600" cy="257175"/>
            <wp:effectExtent l="0" t="0" r="0" b="952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，可以上传投标文件。</w:t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color w:val="FF0000"/>
          <w:sz w:val="21"/>
          <w:szCs w:val="21"/>
        </w:rPr>
        <w:t>（</w:t>
      </w:r>
      <w:r>
        <w:rPr>
          <w:rFonts w:hint="eastAsia" w:ascii="宋体" w:hAnsi="宋体"/>
          <w:b/>
          <w:bCs/>
          <w:color w:val="FF0000"/>
          <w:sz w:val="21"/>
          <w:szCs w:val="21"/>
        </w:rPr>
        <w:t>注</w:t>
      </w:r>
      <w:r>
        <w:rPr>
          <w:rFonts w:hint="eastAsia" w:ascii="宋体" w:hAnsi="宋体"/>
          <w:color w:val="FF0000"/>
          <w:sz w:val="21"/>
          <w:szCs w:val="21"/>
        </w:rPr>
        <w:t>：要求先下载招标文件，然后方可上传投标文件）</w:t>
      </w:r>
    </w:p>
    <w:p>
      <w:pPr>
        <w:pStyle w:val="94"/>
        <w:ind w:left="239" w:leftChars="114" w:firstLine="210" w:firstLineChars="100"/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上传后，可以查看对应上传文件的记录是否上传成功。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181600" cy="257175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</w:pPr>
    </w:p>
    <w:p>
      <w:pPr>
        <w:pStyle w:val="2"/>
        <w:numPr>
          <w:ilvl w:val="0"/>
          <w:numId w:val="0"/>
        </w:numPr>
      </w:pPr>
      <w:bookmarkStart w:id="16" w:name="_Toc498607951"/>
      <w:r>
        <w:rPr>
          <w:rFonts w:hint="eastAsia"/>
        </w:rPr>
        <w:t>二、业务查询</w:t>
      </w:r>
      <w:bookmarkEnd w:id="16"/>
    </w:p>
    <w:p>
      <w:pPr>
        <w:pStyle w:val="3"/>
        <w:numPr>
          <w:ilvl w:val="0"/>
          <w:numId w:val="0"/>
        </w:numPr>
        <w:ind w:left="813" w:hanging="813" w:hangingChars="270"/>
      </w:pPr>
      <w:bookmarkStart w:id="17" w:name="_Toc498607952"/>
      <w:r>
        <w:rPr>
          <w:rFonts w:hint="eastAsia"/>
        </w:rPr>
        <w:t>2</w:t>
      </w:r>
      <w:r>
        <w:t>.</w:t>
      </w:r>
      <w:r>
        <w:rPr>
          <w:rFonts w:hint="eastAsia"/>
        </w:rPr>
        <w:t>1、查看资审结果</w:t>
      </w:r>
      <w:bookmarkEnd w:id="17"/>
    </w:p>
    <w:p>
      <w:pPr>
        <w:pStyle w:val="94"/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可以查看相关工程的资审结果。</w:t>
      </w: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资审通过；2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资审不通过。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76875" cy="1676400"/>
            <wp:effectExtent l="0" t="0" r="9525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</w:pPr>
    </w:p>
    <w:p>
      <w:pPr>
        <w:pStyle w:val="3"/>
        <w:numPr>
          <w:ilvl w:val="0"/>
          <w:numId w:val="0"/>
        </w:numPr>
      </w:pPr>
      <w:bookmarkStart w:id="18" w:name="_Toc498607953"/>
      <w:r>
        <w:rPr>
          <w:rFonts w:hint="eastAsia"/>
        </w:rPr>
        <w:t>2</w:t>
      </w:r>
      <w:r>
        <w:t>.</w:t>
      </w:r>
      <w:r>
        <w:rPr>
          <w:rFonts w:hint="eastAsia"/>
        </w:rPr>
        <w:t>2、查看开标时间</w:t>
      </w:r>
      <w:bookmarkEnd w:id="18"/>
    </w:p>
    <w:p>
      <w:pPr>
        <w:pStyle w:val="94"/>
        <w:spacing w:line="360" w:lineRule="auto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列出了近期的一些项目的开标的一些情况，开标时间、开标地点等信息。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86400" cy="1885950"/>
            <wp:effectExtent l="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</w:pPr>
    </w:p>
    <w:p>
      <w:pPr>
        <w:pStyle w:val="3"/>
        <w:numPr>
          <w:ilvl w:val="0"/>
          <w:numId w:val="0"/>
        </w:numPr>
      </w:pPr>
      <w:bookmarkStart w:id="19" w:name="_Toc256002120"/>
      <w:bookmarkStart w:id="20" w:name="_Toc498607954"/>
      <w:r>
        <w:rPr>
          <w:rFonts w:hint="eastAsia"/>
        </w:rPr>
        <w:t>2</w:t>
      </w:r>
      <w:r>
        <w:t>.</w:t>
      </w:r>
      <w:r>
        <w:rPr>
          <w:rFonts w:hint="eastAsia"/>
        </w:rPr>
        <w:t>3、查看保证金</w:t>
      </w:r>
      <w:bookmarkEnd w:id="19"/>
      <w:r>
        <w:rPr>
          <w:rFonts w:hint="eastAsia"/>
        </w:rPr>
        <w:t>缴退</w:t>
      </w:r>
      <w:bookmarkEnd w:id="20"/>
    </w:p>
    <w:p>
      <w:pPr>
        <w:pStyle w:val="94"/>
        <w:spacing w:line="360" w:lineRule="auto"/>
        <w:ind w:firstLine="357" w:firstLineChars="170"/>
        <w:rPr>
          <w:sz w:val="21"/>
          <w:szCs w:val="21"/>
        </w:rPr>
      </w:pPr>
      <w:r>
        <w:rPr>
          <w:rFonts w:hint="eastAsia"/>
          <w:sz w:val="21"/>
          <w:szCs w:val="21"/>
        </w:rPr>
        <w:t>可以查看项目的保证金的缴纳金额及缴纳状态。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86400" cy="1733550"/>
            <wp:effectExtent l="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</w:pPr>
    </w:p>
    <w:p>
      <w:pPr>
        <w:pStyle w:val="3"/>
        <w:numPr>
          <w:ilvl w:val="0"/>
          <w:numId w:val="0"/>
        </w:numPr>
      </w:pPr>
      <w:bookmarkStart w:id="21" w:name="_Toc498607955"/>
      <w:bookmarkStart w:id="22" w:name="_Toc256002118"/>
      <w:r>
        <w:rPr>
          <w:rFonts w:hint="eastAsia"/>
        </w:rPr>
        <w:t>2</w:t>
      </w:r>
      <w:r>
        <w:t>.</w:t>
      </w:r>
      <w:r>
        <w:rPr>
          <w:rFonts w:hint="eastAsia"/>
        </w:rPr>
        <w:t>4、查看在建工程</w:t>
      </w:r>
      <w:bookmarkEnd w:id="21"/>
      <w:bookmarkEnd w:id="22"/>
    </w:p>
    <w:p>
      <w:pPr>
        <w:pStyle w:val="94"/>
        <w:spacing w:line="36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投标单位中标项目后可以在此查看到在建工程的情况。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86400" cy="1800225"/>
            <wp:effectExtent l="0" t="0" r="0" b="952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23" w:name="_Toc256002119"/>
      <w:bookmarkStart w:id="24" w:name="_Toc498607956"/>
      <w:r>
        <w:rPr>
          <w:rFonts w:hint="eastAsia"/>
        </w:rPr>
        <w:t>2.5、查看中标</w:t>
      </w:r>
      <w:bookmarkEnd w:id="23"/>
      <w:r>
        <w:rPr>
          <w:rFonts w:hint="eastAsia"/>
        </w:rPr>
        <w:t>业绩</w:t>
      </w:r>
      <w:bookmarkEnd w:id="24"/>
    </w:p>
    <w:p>
      <w:pPr>
        <w:pStyle w:val="94"/>
        <w:spacing w:line="360" w:lineRule="auto"/>
        <w:ind w:firstLine="357" w:firstLineChars="170"/>
        <w:rPr>
          <w:sz w:val="21"/>
          <w:szCs w:val="21"/>
        </w:rPr>
      </w:pPr>
      <w:r>
        <w:rPr>
          <w:rFonts w:hint="eastAsia"/>
          <w:sz w:val="21"/>
          <w:szCs w:val="21"/>
        </w:rPr>
        <w:t>可以查看哪些单位中标，以及相关中标时间和中标价格。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95925" cy="1685925"/>
            <wp:effectExtent l="0" t="0" r="9525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/>
    <w:p/>
    <w:p/>
    <w:p/>
    <w:p/>
    <w:p>
      <w:pPr>
        <w:pStyle w:val="2"/>
        <w:numPr>
          <w:ilvl w:val="0"/>
          <w:numId w:val="0"/>
        </w:numPr>
      </w:pPr>
      <w:bookmarkStart w:id="25" w:name="_Toc498607957"/>
      <w:r>
        <w:rPr>
          <w:rFonts w:hint="eastAsia"/>
        </w:rPr>
        <w:t>三、安装工具</w:t>
      </w:r>
      <w:bookmarkEnd w:id="25"/>
    </w:p>
    <w:p>
      <w:pPr>
        <w:pStyle w:val="56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安装之退出</w:t>
      </w:r>
      <w:r>
        <w:rPr>
          <w:rFonts w:hint="eastAsia" w:ascii="Cambria" w:hAnsi="Cambria"/>
          <w:b/>
          <w:bCs/>
          <w:sz w:val="32"/>
          <w:szCs w:val="32"/>
        </w:rPr>
        <w:t>所有</w:t>
      </w:r>
      <w:r>
        <w:rPr>
          <w:rFonts w:hint="eastAsia" w:ascii="微软雅黑" w:hAnsi="微软雅黑" w:eastAsia="微软雅黑"/>
          <w:szCs w:val="21"/>
        </w:rPr>
        <w:t>杀毒软件，包括360杀毒、360安全卫士、电脑管家、金山卫士等</w:t>
      </w:r>
    </w:p>
    <w:p>
      <w:pPr>
        <w:pStyle w:val="56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双击安装程序安装，按照下图选择</w:t>
      </w:r>
    </w:p>
    <w:p>
      <w:r>
        <w:rPr>
          <w:rFonts w:hint="eastAsia"/>
        </w:rPr>
        <w:t>双击</w:t>
      </w:r>
      <w:r>
        <w:rPr>
          <w:rFonts w:hint="eastAsia"/>
        </w:rPr>
        <w:drawing>
          <wp:inline distT="0" distB="0" distL="0" distR="0">
            <wp:extent cx="1266825" cy="1390650"/>
            <wp:effectExtent l="0" t="0" r="952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可快速安装，也可自定义安装</w:t>
      </w:r>
    </w:p>
    <w:p>
      <w:r>
        <w:rPr>
          <w:rFonts w:hint="eastAsia"/>
        </w:rPr>
        <w:drawing>
          <wp:inline distT="0" distB="0" distL="0" distR="0">
            <wp:extent cx="4705350" cy="3533775"/>
            <wp:effectExtent l="0" t="0" r="0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648200" cy="323850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点击安装最新驱动，再点完成</w:t>
      </w:r>
    </w:p>
    <w:p>
      <w:r>
        <w:drawing>
          <wp:inline distT="0" distB="0" distL="0" distR="0">
            <wp:extent cx="4648200" cy="348615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安装过程中出现提示，全部点：允许程序所有操作</w:t>
      </w:r>
    </w:p>
    <w:p>
      <w:pPr>
        <w:ind w:left="105" w:leftChars="50" w:firstLine="630" w:firstLineChars="300"/>
      </w:pPr>
      <w:r>
        <w:drawing>
          <wp:inline distT="0" distB="0" distL="0" distR="0">
            <wp:extent cx="4800600" cy="1838325"/>
            <wp:effectExtent l="0" t="0" r="0" b="9525"/>
            <wp:docPr id="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5" w:leftChars="50" w:firstLine="1131" w:firstLineChars="539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152400</wp:posOffset>
            </wp:positionV>
            <wp:extent cx="4752975" cy="2245360"/>
            <wp:effectExtent l="0" t="0" r="9525" b="2540"/>
            <wp:wrapNone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6" w:name="_Toc458095888"/>
    </w:p>
    <w:p/>
    <w:p/>
    <w:p/>
    <w:p/>
    <w:p/>
    <w:p/>
    <w:p/>
    <w:p/>
    <w:p/>
    <w:p/>
    <w:p>
      <w:pPr>
        <w:pStyle w:val="2"/>
        <w:numPr>
          <w:ilvl w:val="0"/>
          <w:numId w:val="0"/>
        </w:numPr>
        <w:rPr>
          <w:rFonts w:ascii="Cambria" w:hAnsi="Cambria"/>
          <w:kern w:val="2"/>
          <w:szCs w:val="32"/>
        </w:rPr>
      </w:pPr>
      <w:bookmarkStart w:id="27" w:name="_Toc498607958"/>
      <w:r>
        <w:rPr>
          <w:rFonts w:hint="eastAsia" w:ascii="Cambria" w:hAnsi="Cambria"/>
          <w:kern w:val="2"/>
          <w:szCs w:val="32"/>
        </w:rPr>
        <w:t>四、制作工程投标文件</w:t>
      </w:r>
      <w:bookmarkEnd w:id="26"/>
      <w:bookmarkEnd w:id="27"/>
    </w:p>
    <w:p>
      <w:pPr>
        <w:pStyle w:val="3"/>
        <w:numPr>
          <w:ilvl w:val="0"/>
          <w:numId w:val="0"/>
        </w:numPr>
      </w:pPr>
      <w:bookmarkStart w:id="28" w:name="_Toc458095889"/>
      <w:bookmarkStart w:id="29" w:name="_Toc498607959"/>
      <w:bookmarkStart w:id="30" w:name="_Toc425774067"/>
      <w:r>
        <w:rPr>
          <w:rFonts w:hint="eastAsia"/>
          <w:b w:val="0"/>
          <w:bCs w:val="0"/>
        </w:rPr>
        <w:t>4.1、</w:t>
      </w:r>
      <w:r>
        <w:rPr>
          <w:rFonts w:hint="eastAsia"/>
        </w:rPr>
        <w:t>双击打开投标工具</w:t>
      </w:r>
      <w:bookmarkEnd w:id="28"/>
      <w:bookmarkEnd w:id="29"/>
      <w:bookmarkEnd w:id="30"/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828675" cy="1076325"/>
            <wp:effectExtent l="0" t="0" r="9525" b="952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31" w:name="_Toc498607960"/>
      <w:bookmarkStart w:id="32" w:name="_Toc425774069"/>
      <w:bookmarkStart w:id="33" w:name="_Toc458095890"/>
      <w:r>
        <w:rPr>
          <w:rFonts w:hint="eastAsia"/>
        </w:rPr>
        <w:t>4.2、新建投标项目</w:t>
      </w:r>
      <w:bookmarkEnd w:id="31"/>
      <w:bookmarkEnd w:id="32"/>
      <w:bookmarkEnd w:id="33"/>
    </w:p>
    <w:p>
      <w:pPr>
        <w:pStyle w:val="56"/>
        <w:numPr>
          <w:ilvl w:val="0"/>
          <w:numId w:val="4"/>
        </w:numPr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点击新建-选择文件（打开导入招标文件.JSZF格式）-投标单位名称（同步CA锁投标单位名称）-新建</w:t>
      </w:r>
    </w:p>
    <w:p>
      <w:pPr>
        <w:pStyle w:val="56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638800" cy="337185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0"/>
        </w:numPr>
      </w:pPr>
      <w:bookmarkStart w:id="34" w:name="_Toc458095891"/>
      <w:bookmarkStart w:id="35" w:name="_Toc425774070"/>
      <w:bookmarkStart w:id="36" w:name="_Toc498607961"/>
      <w:r>
        <w:rPr>
          <w:rFonts w:hint="eastAsia"/>
        </w:rPr>
        <w:t>4.3、编制项目投标文件</w:t>
      </w:r>
      <w:bookmarkEnd w:id="34"/>
      <w:bookmarkEnd w:id="35"/>
      <w:bookmarkEnd w:id="36"/>
    </w:p>
    <w:p>
      <w:r>
        <w:drawing>
          <wp:inline distT="0" distB="0" distL="0" distR="0">
            <wp:extent cx="5133975" cy="2695575"/>
            <wp:effectExtent l="0" t="0" r="9525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37" w:name="_Toc425774071"/>
      <w:bookmarkStart w:id="38" w:name="_Toc458095892"/>
      <w:r>
        <w:rPr>
          <w:rStyle w:val="50"/>
          <w:rFonts w:hint="eastAsia" w:ascii="微软雅黑" w:hAnsi="微软雅黑" w:eastAsia="微软雅黑"/>
          <w:sz w:val="21"/>
          <w:szCs w:val="21"/>
        </w:rPr>
        <w:t>1）</w:t>
      </w:r>
      <w:bookmarkEnd w:id="37"/>
      <w:r>
        <w:rPr>
          <w:rStyle w:val="50"/>
          <w:rFonts w:hint="eastAsia" w:ascii="微软雅黑" w:hAnsi="微软雅黑" w:eastAsia="微软雅黑"/>
          <w:szCs w:val="21"/>
        </w:rPr>
        <w:t xml:space="preserve"> </w:t>
      </w:r>
      <w:r>
        <w:rPr>
          <w:rStyle w:val="50"/>
          <w:rFonts w:hint="eastAsia" w:ascii="微软雅黑" w:hAnsi="微软雅黑" w:eastAsia="微软雅黑"/>
          <w:sz w:val="21"/>
          <w:szCs w:val="21"/>
        </w:rPr>
        <w:t>浏览招标文件</w:t>
      </w:r>
      <w:bookmarkEnd w:id="38"/>
      <w:r>
        <w:t xml:space="preserve"> </w:t>
      </w:r>
    </w:p>
    <w:p>
      <w:pPr>
        <w:pStyle w:val="56"/>
        <w:ind w:left="360" w:firstLine="0" w:firstLineChars="0"/>
      </w:pPr>
      <w:r>
        <w:drawing>
          <wp:inline distT="0" distB="0" distL="0" distR="0">
            <wp:extent cx="5086350" cy="2476500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0"/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Style w:val="50"/>
          <w:rFonts w:hint="eastAsia" w:ascii="微软雅黑" w:hAnsi="微软雅黑" w:eastAsia="微软雅黑"/>
          <w:sz w:val="21"/>
          <w:szCs w:val="21"/>
        </w:rPr>
        <w:t>2）封面</w:t>
      </w:r>
    </w:p>
    <w:p>
      <w:r>
        <w:rPr>
          <w:rFonts w:hint="eastAsia"/>
        </w:rPr>
        <w:drawing>
          <wp:inline distT="0" distB="0" distL="0" distR="0">
            <wp:extent cx="4819650" cy="2438400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39" w:name="_Toc458095894"/>
      <w:r>
        <w:rPr>
          <w:rStyle w:val="50"/>
          <w:rFonts w:hint="eastAsia" w:ascii="微软雅黑" w:hAnsi="微软雅黑" w:eastAsia="微软雅黑"/>
          <w:sz w:val="21"/>
          <w:szCs w:val="21"/>
        </w:rPr>
        <w:t>3）投标函</w:t>
      </w:r>
      <w:r>
        <w:rPr>
          <w:rFonts w:hint="eastAsia"/>
        </w:rPr>
        <w:t>：</w:t>
      </w:r>
      <w:bookmarkEnd w:id="39"/>
      <w:r>
        <w:rPr>
          <w:rFonts w:hint="eastAsia"/>
        </w:rPr>
        <w:t xml:space="preserve">     </w:t>
      </w:r>
    </w:p>
    <w:p>
      <w:pPr>
        <w:jc w:val="center"/>
        <w:rPr>
          <w:rStyle w:val="50"/>
          <w:rFonts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5486400" cy="2952750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0"/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Style w:val="50"/>
          <w:rFonts w:hint="eastAsia" w:ascii="微软雅黑" w:hAnsi="微软雅黑" w:eastAsia="微软雅黑"/>
          <w:sz w:val="21"/>
          <w:szCs w:val="21"/>
        </w:rPr>
        <w:t xml:space="preserve">4）法定代表人及授权委托书：   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429250" cy="2714625"/>
            <wp:effectExtent l="0" t="0" r="0" b="952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0"/>
          <w:rFonts w:hint="eastAsia" w:ascii="微软雅黑" w:hAnsi="微软雅黑" w:eastAsia="微软雅黑"/>
          <w:szCs w:val="21"/>
        </w:rPr>
        <w:t xml:space="preserve">                                                   </w:t>
      </w:r>
    </w:p>
    <w:p>
      <w:pPr>
        <w:rPr>
          <w:b/>
        </w:rPr>
      </w:pPr>
      <w:r>
        <w:rPr>
          <w:rFonts w:hint="eastAsia"/>
          <w:b/>
        </w:rPr>
        <w:t xml:space="preserve">5）已标价的工程量清单：                            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353050" cy="2790825"/>
            <wp:effectExtent l="0" t="0" r="0" b="952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6）资格审查申请格式（同步诚信库）：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324475" cy="2505075"/>
            <wp:effectExtent l="0" t="0" r="9525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7）生成投标文件：</w:t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标书检查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76800" cy="240030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生成投标文件</w:t>
      </w:r>
      <w:r>
        <w:rPr>
          <w:rFonts w:ascii="微软雅黑" w:hAnsi="微软雅黑" w:eastAsia="微软雅黑"/>
          <w:szCs w:val="21"/>
        </w:rPr>
        <w:t>—</w:t>
      </w:r>
      <w:r>
        <w:rPr>
          <w:rFonts w:hint="eastAsia" w:ascii="微软雅黑" w:hAnsi="微软雅黑" w:eastAsia="微软雅黑"/>
          <w:szCs w:val="21"/>
        </w:rPr>
        <w:t>批量转换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33950" cy="2019300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numPr>
          <w:ilvl w:val="0"/>
          <w:numId w:val="5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标书签章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29200" cy="1876425"/>
            <wp:effectExtent l="0" t="0" r="0" b="952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预览标书</w:t>
      </w:r>
      <w:r>
        <w:rPr>
          <w:rFonts w:ascii="微软雅黑" w:hAnsi="微软雅黑" w:eastAsia="微软雅黑"/>
          <w:szCs w:val="21"/>
        </w:rPr>
        <w:t>—</w:t>
      </w:r>
      <w:r>
        <w:rPr>
          <w:rFonts w:hint="eastAsia" w:ascii="微软雅黑" w:hAnsi="微软雅黑" w:eastAsia="微软雅黑"/>
          <w:szCs w:val="21"/>
        </w:rPr>
        <w:t>生成标书（会提示生成标书文件成功）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561340</wp:posOffset>
            </wp:positionV>
            <wp:extent cx="2943225" cy="1865630"/>
            <wp:effectExtent l="0" t="0" r="952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86350" cy="2428875"/>
            <wp:effectExtent l="0" t="0" r="0" b="952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重要提示：</w:t>
      </w:r>
    </w:p>
    <w:p>
      <w:pPr>
        <w:pStyle w:val="56"/>
        <w:numPr>
          <w:ilvl w:val="0"/>
          <w:numId w:val="6"/>
        </w:numPr>
        <w:ind w:firstLineChars="0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请务必确保投标文件生成成功，投标文件后缀名为【jSTF】；</w:t>
      </w:r>
    </w:p>
    <w:p>
      <w:pPr>
        <w:pStyle w:val="56"/>
        <w:ind w:firstLine="0" w:firstLineChars="0"/>
        <w:rPr>
          <w:rFonts w:ascii="宋体" w:hAnsi="宋体" w:cs="宋体"/>
          <w:color w:val="FF0000"/>
          <w:kern w:val="0"/>
          <w:szCs w:val="21"/>
        </w:rPr>
      </w:pPr>
    </w:p>
    <w:p>
      <w:pPr>
        <w:numPr>
          <w:ilvl w:val="0"/>
          <w:numId w:val="5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上传投标文件—点击完成按钮—在跳出弹窗中点击确定</w:t>
      </w:r>
    </w:p>
    <w:p>
      <w:pPr>
        <w:ind w:left="360"/>
      </w:pPr>
      <w:r>
        <w:drawing>
          <wp:inline distT="0" distB="0" distL="0" distR="0">
            <wp:extent cx="5486400" cy="2905125"/>
            <wp:effectExtent l="0" t="0" r="0" b="9525"/>
            <wp:docPr id="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</w:pPr>
      <w:r>
        <w:rPr>
          <w:rFonts w:hint="eastAsia"/>
        </w:rPr>
        <w:t>在跳出弹框中点击上传标书按钮，注：上传过程中锁须与电脑保持连接，并且点击上传历史及撤销可以撤回已上传的投标文件。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486400" cy="3086100"/>
            <wp:effectExtent l="0" t="0" r="0" b="0"/>
            <wp:docPr id="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4138108"/>
      <w:docPartObj>
        <w:docPartGallery w:val="autotext"/>
      </w:docPartObj>
    </w:sdtPr>
    <w:sdtContent>
      <w:p>
        <w:pPr>
          <w:pStyle w:val="2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  <w:p>
    <w:pPr>
      <w:pStyle w:val="2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F76F1"/>
    <w:multiLevelType w:val="singleLevel"/>
    <w:tmpl w:val="85FF76F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F224CC0"/>
    <w:multiLevelType w:val="multilevel"/>
    <w:tmpl w:val="0F224CC0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C9B03AE"/>
    <w:multiLevelType w:val="multilevel"/>
    <w:tmpl w:val="2C9B03AE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DC518D"/>
    <w:multiLevelType w:val="multilevel"/>
    <w:tmpl w:val="3DDC518D"/>
    <w:lvl w:ilvl="0" w:tentative="0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4A8D37A6"/>
    <w:multiLevelType w:val="multilevel"/>
    <w:tmpl w:val="4A8D37A6"/>
    <w:lvl w:ilvl="0" w:tentative="0">
      <w:start w:val="1"/>
      <w:numFmt w:val="decimal"/>
      <w:lvlText w:val="%1、"/>
      <w:lvlJc w:val="left"/>
      <w:pPr>
        <w:ind w:left="360" w:hanging="360"/>
      </w:pPr>
      <w:rPr>
        <w:rFonts w:ascii="微软雅黑" w:hAnsi="微软雅黑" w:eastAsia="微软雅黑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567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985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203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985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2126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268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934"/>
        </w:tabs>
        <w:ind w:left="2410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2934"/>
        </w:tabs>
        <w:ind w:left="2552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3294"/>
        </w:tabs>
        <w:ind w:left="2693" w:hanging="1559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1YTUwMTM4NjU2ZThiYjJiNTU0YmFkNmM0Nzg5ZjEifQ=="/>
  </w:docVars>
  <w:rsids>
    <w:rsidRoot w:val="00100CC3"/>
    <w:rsid w:val="00000166"/>
    <w:rsid w:val="00056D96"/>
    <w:rsid w:val="00057BD2"/>
    <w:rsid w:val="00096C36"/>
    <w:rsid w:val="000A3961"/>
    <w:rsid w:val="000B0AE5"/>
    <w:rsid w:val="000D7222"/>
    <w:rsid w:val="000F375C"/>
    <w:rsid w:val="00100CC3"/>
    <w:rsid w:val="00100FFF"/>
    <w:rsid w:val="001730B5"/>
    <w:rsid w:val="0017390F"/>
    <w:rsid w:val="00174441"/>
    <w:rsid w:val="00184616"/>
    <w:rsid w:val="00195845"/>
    <w:rsid w:val="001B357F"/>
    <w:rsid w:val="001C5722"/>
    <w:rsid w:val="001D7C60"/>
    <w:rsid w:val="001E47A3"/>
    <w:rsid w:val="0020750C"/>
    <w:rsid w:val="00212369"/>
    <w:rsid w:val="00215C66"/>
    <w:rsid w:val="00230053"/>
    <w:rsid w:val="00243A63"/>
    <w:rsid w:val="002546A6"/>
    <w:rsid w:val="00273AE5"/>
    <w:rsid w:val="00286DD6"/>
    <w:rsid w:val="00297836"/>
    <w:rsid w:val="002A3D7A"/>
    <w:rsid w:val="002A5F10"/>
    <w:rsid w:val="002B4A8C"/>
    <w:rsid w:val="002B4E4B"/>
    <w:rsid w:val="002B5122"/>
    <w:rsid w:val="002C340C"/>
    <w:rsid w:val="002C42C9"/>
    <w:rsid w:val="002C4B68"/>
    <w:rsid w:val="002D0DAD"/>
    <w:rsid w:val="002F63D4"/>
    <w:rsid w:val="003311AD"/>
    <w:rsid w:val="00341790"/>
    <w:rsid w:val="003B343F"/>
    <w:rsid w:val="003C1F45"/>
    <w:rsid w:val="003C28EC"/>
    <w:rsid w:val="00426C2B"/>
    <w:rsid w:val="0043402E"/>
    <w:rsid w:val="004505B5"/>
    <w:rsid w:val="00466428"/>
    <w:rsid w:val="004978EC"/>
    <w:rsid w:val="004A3421"/>
    <w:rsid w:val="004A58D6"/>
    <w:rsid w:val="004B22E4"/>
    <w:rsid w:val="004E5AA7"/>
    <w:rsid w:val="004E5DCF"/>
    <w:rsid w:val="00505BCD"/>
    <w:rsid w:val="00506BA2"/>
    <w:rsid w:val="00510330"/>
    <w:rsid w:val="005138AE"/>
    <w:rsid w:val="0051416F"/>
    <w:rsid w:val="00541DA7"/>
    <w:rsid w:val="005458E2"/>
    <w:rsid w:val="0055574D"/>
    <w:rsid w:val="005C2A3D"/>
    <w:rsid w:val="005C56A9"/>
    <w:rsid w:val="005D04DF"/>
    <w:rsid w:val="005E7468"/>
    <w:rsid w:val="005F57CB"/>
    <w:rsid w:val="0062424A"/>
    <w:rsid w:val="00655EBE"/>
    <w:rsid w:val="00661358"/>
    <w:rsid w:val="0067468B"/>
    <w:rsid w:val="00690B0D"/>
    <w:rsid w:val="006A12DB"/>
    <w:rsid w:val="006B1CE5"/>
    <w:rsid w:val="006D4F2A"/>
    <w:rsid w:val="0072191E"/>
    <w:rsid w:val="00727BC8"/>
    <w:rsid w:val="00731F02"/>
    <w:rsid w:val="0074645E"/>
    <w:rsid w:val="00746716"/>
    <w:rsid w:val="00777987"/>
    <w:rsid w:val="00790A8D"/>
    <w:rsid w:val="007A3C0A"/>
    <w:rsid w:val="007A710C"/>
    <w:rsid w:val="007B33B8"/>
    <w:rsid w:val="007B41DF"/>
    <w:rsid w:val="007B4271"/>
    <w:rsid w:val="007B7575"/>
    <w:rsid w:val="007B789F"/>
    <w:rsid w:val="007C3790"/>
    <w:rsid w:val="007C561B"/>
    <w:rsid w:val="007C7D58"/>
    <w:rsid w:val="007E78EC"/>
    <w:rsid w:val="007F5E6D"/>
    <w:rsid w:val="00850689"/>
    <w:rsid w:val="008624EC"/>
    <w:rsid w:val="00883C5C"/>
    <w:rsid w:val="00895FCF"/>
    <w:rsid w:val="008A045B"/>
    <w:rsid w:val="008F6E93"/>
    <w:rsid w:val="008F7D9B"/>
    <w:rsid w:val="00900BE1"/>
    <w:rsid w:val="0090727C"/>
    <w:rsid w:val="00907DF2"/>
    <w:rsid w:val="00917615"/>
    <w:rsid w:val="00926210"/>
    <w:rsid w:val="009447D5"/>
    <w:rsid w:val="0095277A"/>
    <w:rsid w:val="00963583"/>
    <w:rsid w:val="00970F26"/>
    <w:rsid w:val="00973DEB"/>
    <w:rsid w:val="00974B7B"/>
    <w:rsid w:val="0099588F"/>
    <w:rsid w:val="009B4CF1"/>
    <w:rsid w:val="009F5E85"/>
    <w:rsid w:val="00A01245"/>
    <w:rsid w:val="00A1308A"/>
    <w:rsid w:val="00A133EC"/>
    <w:rsid w:val="00A301C1"/>
    <w:rsid w:val="00A33092"/>
    <w:rsid w:val="00A55238"/>
    <w:rsid w:val="00A94083"/>
    <w:rsid w:val="00AB6B3C"/>
    <w:rsid w:val="00AD659E"/>
    <w:rsid w:val="00AE0ED2"/>
    <w:rsid w:val="00AE3D88"/>
    <w:rsid w:val="00B3163E"/>
    <w:rsid w:val="00B373F0"/>
    <w:rsid w:val="00B4148A"/>
    <w:rsid w:val="00B52C7E"/>
    <w:rsid w:val="00B73E2B"/>
    <w:rsid w:val="00BD2785"/>
    <w:rsid w:val="00C0582B"/>
    <w:rsid w:val="00C26B36"/>
    <w:rsid w:val="00C26FA6"/>
    <w:rsid w:val="00C43226"/>
    <w:rsid w:val="00C54362"/>
    <w:rsid w:val="00C56A0F"/>
    <w:rsid w:val="00C77FAF"/>
    <w:rsid w:val="00C902FB"/>
    <w:rsid w:val="00C9469C"/>
    <w:rsid w:val="00C97058"/>
    <w:rsid w:val="00CA4D57"/>
    <w:rsid w:val="00CE6F6D"/>
    <w:rsid w:val="00D0539A"/>
    <w:rsid w:val="00D15330"/>
    <w:rsid w:val="00D15AE2"/>
    <w:rsid w:val="00D33C49"/>
    <w:rsid w:val="00D375D7"/>
    <w:rsid w:val="00D60BCD"/>
    <w:rsid w:val="00D63739"/>
    <w:rsid w:val="00DA2EC4"/>
    <w:rsid w:val="00DB4688"/>
    <w:rsid w:val="00DE095D"/>
    <w:rsid w:val="00DE18FE"/>
    <w:rsid w:val="00E11B69"/>
    <w:rsid w:val="00E3446A"/>
    <w:rsid w:val="00E53C7B"/>
    <w:rsid w:val="00E57519"/>
    <w:rsid w:val="00E70E4E"/>
    <w:rsid w:val="00E72E9F"/>
    <w:rsid w:val="00E806CE"/>
    <w:rsid w:val="00EA7AA7"/>
    <w:rsid w:val="00ED0B96"/>
    <w:rsid w:val="00F314AE"/>
    <w:rsid w:val="00F34D04"/>
    <w:rsid w:val="00F50222"/>
    <w:rsid w:val="00F74E63"/>
    <w:rsid w:val="00FA1115"/>
    <w:rsid w:val="00FA6950"/>
    <w:rsid w:val="00FA6B3E"/>
    <w:rsid w:val="00FB04BD"/>
    <w:rsid w:val="00FD2701"/>
    <w:rsid w:val="00FD6767"/>
    <w:rsid w:val="00FE36E4"/>
    <w:rsid w:val="00FE554D"/>
    <w:rsid w:val="00FF56E9"/>
    <w:rsid w:val="00FF6B14"/>
    <w:rsid w:val="1A1249DF"/>
    <w:rsid w:val="2EB85B00"/>
    <w:rsid w:val="46EF0A4A"/>
    <w:rsid w:val="517A3F4D"/>
    <w:rsid w:val="665722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1701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5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7"/>
    <w:next w:val="1"/>
    <w:link w:val="62"/>
    <w:qFormat/>
    <w:uiPriority w:val="0"/>
    <w:pPr>
      <w:numPr>
        <w:ilvl w:val="0"/>
        <w:numId w:val="0"/>
      </w:numPr>
      <w:tabs>
        <w:tab w:val="left" w:pos="1800"/>
      </w:tabs>
      <w:spacing w:before="260" w:after="260"/>
      <w:ind w:left="1276" w:hanging="1276"/>
      <w:outlineLvl w:val="6"/>
    </w:pPr>
    <w:rPr>
      <w:rFonts w:ascii="Times New Roman" w:hAnsi="Times New Roman"/>
      <w:sz w:val="30"/>
      <w:szCs w:val="18"/>
    </w:rPr>
  </w:style>
  <w:style w:type="paragraph" w:styleId="9">
    <w:name w:val="heading 8"/>
    <w:basedOn w:val="8"/>
    <w:next w:val="1"/>
    <w:link w:val="63"/>
    <w:qFormat/>
    <w:uiPriority w:val="0"/>
    <w:pPr>
      <w:ind w:left="1418" w:hanging="1418"/>
      <w:outlineLvl w:val="7"/>
    </w:pPr>
  </w:style>
  <w:style w:type="paragraph" w:styleId="10">
    <w:name w:val="heading 9"/>
    <w:basedOn w:val="9"/>
    <w:next w:val="1"/>
    <w:link w:val="64"/>
    <w:qFormat/>
    <w:uiPriority w:val="0"/>
    <w:pPr>
      <w:tabs>
        <w:tab w:val="left" w:pos="2160"/>
        <w:tab w:val="clear" w:pos="1800"/>
      </w:tabs>
      <w:ind w:left="1559" w:hanging="1559"/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856" w:hanging="420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 w:line="360" w:lineRule="auto"/>
      <w:ind w:firstLine="480"/>
    </w:pPr>
    <w:rPr>
      <w:sz w:val="24"/>
      <w:szCs w:val="20"/>
    </w:rPr>
  </w:style>
  <w:style w:type="paragraph" w:styleId="14">
    <w:name w:val="Document Map"/>
    <w:basedOn w:val="1"/>
    <w:link w:val="61"/>
    <w:unhideWhenUsed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65"/>
    <w:qFormat/>
    <w:uiPriority w:val="0"/>
    <w:pPr>
      <w:jc w:val="left"/>
    </w:pPr>
    <w:rPr>
      <w:rFonts w:ascii="Calibri" w:hAnsi="Calibri"/>
    </w:rPr>
  </w:style>
  <w:style w:type="paragraph" w:styleId="16">
    <w:name w:val="Body Text 3"/>
    <w:basedOn w:val="1"/>
    <w:link w:val="75"/>
    <w:qFormat/>
    <w:uiPriority w:val="0"/>
    <w:pPr>
      <w:spacing w:after="120"/>
    </w:pPr>
    <w:rPr>
      <w:rFonts w:ascii="Calibri" w:hAnsi="Calibri"/>
      <w:sz w:val="16"/>
      <w:szCs w:val="16"/>
    </w:rPr>
  </w:style>
  <w:style w:type="paragraph" w:styleId="17">
    <w:name w:val="Body Text"/>
    <w:basedOn w:val="1"/>
    <w:link w:val="70"/>
    <w:qFormat/>
    <w:uiPriority w:val="0"/>
    <w:pPr>
      <w:spacing w:after="120"/>
    </w:pPr>
    <w:rPr>
      <w:rFonts w:ascii="Calibri" w:hAnsi="Calibri"/>
    </w:rPr>
  </w:style>
  <w:style w:type="paragraph" w:styleId="18">
    <w:name w:val="Body Text Indent"/>
    <w:basedOn w:val="1"/>
    <w:link w:val="5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0"/>
    <w:pPr>
      <w:ind w:left="840"/>
      <w:jc w:val="left"/>
    </w:pPr>
    <w:rPr>
      <w:rFonts w:ascii="Calibri" w:hAnsi="Calibri"/>
      <w:sz w:val="18"/>
      <w:szCs w:val="18"/>
    </w:r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Plain Text"/>
    <w:basedOn w:val="1"/>
    <w:link w:val="71"/>
    <w:qFormat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qFormat/>
    <w:uiPriority w:val="0"/>
    <w:pPr>
      <w:ind w:left="1470"/>
      <w:jc w:val="left"/>
    </w:pPr>
    <w:rPr>
      <w:rFonts w:ascii="Calibri" w:hAnsi="Calibri"/>
      <w:sz w:val="18"/>
      <w:szCs w:val="18"/>
    </w:rPr>
  </w:style>
  <w:style w:type="paragraph" w:styleId="23">
    <w:name w:val="Date"/>
    <w:basedOn w:val="1"/>
    <w:next w:val="1"/>
    <w:link w:val="81"/>
    <w:qFormat/>
    <w:uiPriority w:val="0"/>
    <w:pPr>
      <w:ind w:left="100" w:leftChars="2500"/>
    </w:pPr>
    <w:rPr>
      <w:rFonts w:ascii="Calibri" w:hAnsi="Calibri"/>
    </w:rPr>
  </w:style>
  <w:style w:type="paragraph" w:styleId="24">
    <w:name w:val="Body Text Indent 2"/>
    <w:basedOn w:val="1"/>
    <w:link w:val="80"/>
    <w:qFormat/>
    <w:uiPriority w:val="0"/>
    <w:pPr>
      <w:spacing w:after="120" w:line="480" w:lineRule="auto"/>
      <w:ind w:left="420" w:leftChars="200"/>
    </w:pPr>
    <w:rPr>
      <w:rFonts w:ascii="Calibri" w:hAnsi="Calibri"/>
    </w:rPr>
  </w:style>
  <w:style w:type="paragraph" w:styleId="25">
    <w:name w:val="Balloon Text"/>
    <w:basedOn w:val="1"/>
    <w:link w:val="58"/>
    <w:unhideWhenUsed/>
    <w:qFormat/>
    <w:uiPriority w:val="0"/>
    <w:rPr>
      <w:sz w:val="18"/>
      <w:szCs w:val="18"/>
    </w:rPr>
  </w:style>
  <w:style w:type="paragraph" w:styleId="26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7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unhideWhenUsed/>
    <w:qFormat/>
    <w:uiPriority w:val="39"/>
    <w:pPr>
      <w:tabs>
        <w:tab w:val="right" w:leader="dot" w:pos="8296"/>
      </w:tabs>
      <w:jc w:val="left"/>
    </w:pPr>
    <w:rPr>
      <w:szCs w:val="32"/>
    </w:rPr>
  </w:style>
  <w:style w:type="paragraph" w:styleId="29">
    <w:name w:val="toc 4"/>
    <w:basedOn w:val="1"/>
    <w:next w:val="1"/>
    <w:qFormat/>
    <w:uiPriority w:val="0"/>
    <w:pPr>
      <w:ind w:left="630"/>
      <w:jc w:val="left"/>
    </w:pPr>
    <w:rPr>
      <w:rFonts w:ascii="Calibri" w:hAnsi="Calibri"/>
      <w:sz w:val="18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0"/>
    <w:pPr>
      <w:ind w:left="1050"/>
      <w:jc w:val="left"/>
    </w:pPr>
    <w:rPr>
      <w:rFonts w:ascii="Calibri" w:hAnsi="Calibri"/>
      <w:sz w:val="18"/>
      <w:szCs w:val="18"/>
    </w:rPr>
  </w:style>
  <w:style w:type="paragraph" w:styleId="33">
    <w:name w:val="Body Text Indent 3"/>
    <w:basedOn w:val="1"/>
    <w:link w:val="72"/>
    <w:qFormat/>
    <w:uiPriority w:val="0"/>
    <w:pPr>
      <w:spacing w:after="120"/>
      <w:ind w:left="420" w:leftChars="200"/>
    </w:pPr>
    <w:rPr>
      <w:rFonts w:ascii="Calibri" w:hAnsi="Calibri"/>
      <w:sz w:val="16"/>
      <w:szCs w:val="16"/>
    </w:rPr>
  </w:style>
  <w:style w:type="paragraph" w:styleId="34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</w:pPr>
  </w:style>
  <w:style w:type="paragraph" w:styleId="35">
    <w:name w:val="toc 9"/>
    <w:basedOn w:val="1"/>
    <w:next w:val="1"/>
    <w:qFormat/>
    <w:uiPriority w:val="0"/>
    <w:pPr>
      <w:ind w:left="1680"/>
      <w:jc w:val="left"/>
    </w:pPr>
    <w:rPr>
      <w:rFonts w:ascii="Calibri" w:hAnsi="Calibri"/>
      <w:sz w:val="18"/>
      <w:szCs w:val="18"/>
    </w:rPr>
  </w:style>
  <w:style w:type="paragraph" w:styleId="36">
    <w:name w:val="Body Text 2"/>
    <w:basedOn w:val="1"/>
    <w:link w:val="76"/>
    <w:qFormat/>
    <w:uiPriority w:val="0"/>
    <w:pPr>
      <w:spacing w:after="120" w:line="480" w:lineRule="auto"/>
    </w:pPr>
    <w:rPr>
      <w:rFonts w:ascii="Calibri" w:hAnsi="Calibri"/>
    </w:rPr>
  </w:style>
  <w:style w:type="paragraph" w:styleId="37">
    <w:name w:val="Normal (Web)"/>
    <w:basedOn w:val="1"/>
    <w:qFormat/>
    <w:uiPriority w:val="0"/>
    <w:pPr>
      <w:widowControl/>
      <w:spacing w:before="100" w:after="100"/>
      <w:jc w:val="left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next w:val="1"/>
    <w:link w:val="60"/>
    <w:qFormat/>
    <w:uiPriority w:val="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39">
    <w:name w:val="Body Text First Indent"/>
    <w:basedOn w:val="17"/>
    <w:link w:val="69"/>
    <w:qFormat/>
    <w:uiPriority w:val="0"/>
    <w:pPr>
      <w:ind w:firstLine="42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yperlink"/>
    <w:unhideWhenUsed/>
    <w:qFormat/>
    <w:uiPriority w:val="99"/>
    <w:rPr>
      <w:color w:val="0000FF"/>
      <w:u w:val="single"/>
    </w:rPr>
  </w:style>
  <w:style w:type="character" w:styleId="45">
    <w:name w:val="annotation reference"/>
    <w:qFormat/>
    <w:uiPriority w:val="0"/>
    <w:rPr>
      <w:sz w:val="21"/>
      <w:szCs w:val="21"/>
    </w:rPr>
  </w:style>
  <w:style w:type="character" w:customStyle="1" w:styleId="46">
    <w:name w:val="页眉 Char"/>
    <w:link w:val="27"/>
    <w:qFormat/>
    <w:uiPriority w:val="99"/>
    <w:rPr>
      <w:sz w:val="18"/>
      <w:szCs w:val="18"/>
    </w:rPr>
  </w:style>
  <w:style w:type="character" w:customStyle="1" w:styleId="47">
    <w:name w:val="页脚 Char"/>
    <w:link w:val="26"/>
    <w:qFormat/>
    <w:uiPriority w:val="99"/>
    <w:rPr>
      <w:sz w:val="18"/>
      <w:szCs w:val="18"/>
    </w:rPr>
  </w:style>
  <w:style w:type="character" w:customStyle="1" w:styleId="48">
    <w:name w:val="标题 1 Char"/>
    <w:link w:val="2"/>
    <w:qFormat/>
    <w:uiPriority w:val="0"/>
    <w:rPr>
      <w:rFonts w:ascii="Times New Roman" w:hAnsi="Times New Roman"/>
      <w:b/>
      <w:bCs/>
      <w:kern w:val="44"/>
      <w:sz w:val="32"/>
      <w:szCs w:val="28"/>
    </w:rPr>
  </w:style>
  <w:style w:type="character" w:customStyle="1" w:styleId="49">
    <w:name w:val="标题 2 Char"/>
    <w:link w:val="3"/>
    <w:qFormat/>
    <w:uiPriority w:val="0"/>
    <w:rPr>
      <w:rFonts w:ascii="Times New Roman" w:hAnsi="Times New Roman"/>
      <w:b/>
      <w:bCs/>
      <w:kern w:val="2"/>
      <w:sz w:val="30"/>
      <w:szCs w:val="32"/>
    </w:rPr>
  </w:style>
  <w:style w:type="character" w:customStyle="1" w:styleId="50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1">
    <w:name w:val="标题 4 Char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52">
    <w:name w:val="标题 5 Char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53">
    <w:name w:val="标题 6 Char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54">
    <w:name w:val="正文文本缩进 Char"/>
    <w:link w:val="18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5">
    <w:name w:val="标题6"/>
    <w:basedOn w:val="7"/>
    <w:link w:val="5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56">
    <w:name w:val="List Paragraph"/>
    <w:basedOn w:val="1"/>
    <w:qFormat/>
    <w:uiPriority w:val="34"/>
    <w:pPr>
      <w:ind w:firstLine="420" w:firstLineChars="200"/>
    </w:pPr>
  </w:style>
  <w:style w:type="character" w:customStyle="1" w:styleId="57">
    <w:name w:val="标题6 Char"/>
    <w:link w:val="55"/>
    <w:qFormat/>
    <w:uiPriority w:val="0"/>
    <w:rPr>
      <w:rFonts w:ascii="Times New Roman" w:hAnsi="Times New Roman" w:eastAsia="宋体" w:cs="Times New Roman"/>
      <w:b/>
      <w:sz w:val="24"/>
      <w:szCs w:val="24"/>
    </w:rPr>
  </w:style>
  <w:style w:type="character" w:customStyle="1" w:styleId="58">
    <w:name w:val="批注框文本 Char"/>
    <w:link w:val="2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59">
    <w:name w:val="TOC Heading"/>
    <w:basedOn w:val="2"/>
    <w:next w:val="1"/>
    <w:unhideWhenUsed/>
    <w:qFormat/>
    <w:uiPriority w:val="0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60">
    <w:name w:val="标题 Char"/>
    <w:link w:val="38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61">
    <w:name w:val="文档结构图 Char"/>
    <w:link w:val="14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2">
    <w:name w:val="标题 7 Char"/>
    <w:link w:val="8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3">
    <w:name w:val="标题 8 Char"/>
    <w:link w:val="9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4">
    <w:name w:val="标题 9 Char"/>
    <w:link w:val="10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5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66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67">
    <w:name w:val="14_black1"/>
    <w:qFormat/>
    <w:uiPriority w:val="0"/>
    <w:rPr>
      <w:color w:val="000000"/>
      <w:sz w:val="23"/>
      <w:szCs w:val="23"/>
    </w:rPr>
  </w:style>
  <w:style w:type="character" w:customStyle="1" w:styleId="68">
    <w:name w:val="f141"/>
    <w:qFormat/>
    <w:uiPriority w:val="0"/>
    <w:rPr>
      <w:sz w:val="21"/>
      <w:szCs w:val="21"/>
    </w:rPr>
  </w:style>
  <w:style w:type="character" w:customStyle="1" w:styleId="69">
    <w:name w:val="正文首行缩进 Char"/>
    <w:basedOn w:val="70"/>
    <w:link w:val="39"/>
    <w:qFormat/>
    <w:uiPriority w:val="0"/>
    <w:rPr>
      <w:kern w:val="2"/>
      <w:sz w:val="21"/>
      <w:szCs w:val="24"/>
    </w:rPr>
  </w:style>
  <w:style w:type="character" w:customStyle="1" w:styleId="70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71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72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73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4">
    <w:name w:val="FA正文"/>
    <w:basedOn w:val="1"/>
    <w:link w:val="73"/>
    <w:qFormat/>
    <w:uiPriority w:val="0"/>
    <w:pPr>
      <w:tabs>
        <w:tab w:val="left" w:pos="3375"/>
      </w:tabs>
      <w:spacing w:line="360" w:lineRule="auto"/>
      <w:ind w:firstLine="520" w:firstLineChars="200"/>
    </w:pPr>
    <w:rPr>
      <w:rFonts w:ascii="宋体" w:hAnsi="宋体"/>
      <w:spacing w:val="10"/>
      <w:sz w:val="24"/>
    </w:rPr>
  </w:style>
  <w:style w:type="character" w:customStyle="1" w:styleId="75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76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77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78">
    <w:name w:val="页眉 Char1"/>
    <w:qFormat/>
    <w:uiPriority w:val="0"/>
    <w:rPr>
      <w:kern w:val="2"/>
      <w:sz w:val="18"/>
      <w:szCs w:val="18"/>
    </w:rPr>
  </w:style>
  <w:style w:type="character" w:customStyle="1" w:styleId="79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0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8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82">
    <w:name w:val="已访问的超链接1"/>
    <w:qFormat/>
    <w:uiPriority w:val="0"/>
    <w:rPr>
      <w:color w:val="800080"/>
      <w:u w:val="single"/>
    </w:rPr>
  </w:style>
  <w:style w:type="character" w:customStyle="1" w:styleId="83">
    <w:name w:val="正文文本缩进 2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84">
    <w:name w:val="正文文本 2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85">
    <w:name w:val="日期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paragraph" w:customStyle="1" w:styleId="86">
    <w:name w:val="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87">
    <w:name w:val="Char Char Char Char"/>
    <w:basedOn w:val="14"/>
    <w:qFormat/>
    <w:uiPriority w:val="0"/>
    <w:pPr>
      <w:widowControl/>
      <w:shd w:val="clear" w:color="auto" w:fill="000080"/>
      <w:ind w:firstLine="454"/>
      <w:jc w:val="left"/>
    </w:pPr>
    <w:rPr>
      <w:rFonts w:ascii="Tahoma" w:hAnsi="Tahoma" w:cs="宋体"/>
      <w:kern w:val="0"/>
      <w:sz w:val="21"/>
      <w:szCs w:val="20"/>
    </w:rPr>
  </w:style>
  <w:style w:type="paragraph" w:customStyle="1" w:styleId="88">
    <w:name w:val="样式4 Char"/>
    <w:basedOn w:val="1"/>
    <w:qFormat/>
    <w:uiPriority w:val="0"/>
    <w:pPr>
      <w:widowControl/>
      <w:spacing w:line="360" w:lineRule="auto"/>
      <w:ind w:firstLine="480"/>
      <w:jc w:val="left"/>
    </w:pPr>
    <w:rPr>
      <w:color w:val="000000"/>
      <w:kern w:val="0"/>
      <w:sz w:val="24"/>
    </w:rPr>
  </w:style>
  <w:style w:type="paragraph" w:customStyle="1" w:styleId="89">
    <w:name w:val="正文无缩进"/>
    <w:basedOn w:val="1"/>
    <w:qFormat/>
    <w:uiPriority w:val="0"/>
    <w:pPr>
      <w:spacing w:before="156" w:beforeLines="50" w:line="300" w:lineRule="auto"/>
      <w:jc w:val="center"/>
    </w:pPr>
    <w:rPr>
      <w:rFonts w:ascii="宋体" w:hAnsi="宋体"/>
      <w:sz w:val="24"/>
    </w:rPr>
  </w:style>
  <w:style w:type="paragraph" w:customStyle="1" w:styleId="90">
    <w:name w:val="14_blac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1">
    <w:name w:val="Char Char1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2">
    <w:name w:val="4"/>
    <w:basedOn w:val="1"/>
    <w:qFormat/>
    <w:uiPriority w:val="0"/>
    <w:pPr>
      <w:spacing w:line="300" w:lineRule="auto"/>
      <w:ind w:firstLine="480" w:firstLineChars="200"/>
    </w:pPr>
    <w:rPr>
      <w:sz w:val="24"/>
      <w:szCs w:val="20"/>
    </w:rPr>
  </w:style>
  <w:style w:type="paragraph" w:customStyle="1" w:styleId="93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paragraph" w:customStyle="1" w:styleId="9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95">
    <w:name w:val="助手文本"/>
    <w:basedOn w:val="1"/>
    <w:qFormat/>
    <w:uiPriority w:val="0"/>
    <w:pPr>
      <w:autoSpaceDE w:val="0"/>
      <w:autoSpaceDN w:val="0"/>
      <w:adjustRightInd w:val="0"/>
      <w:spacing w:before="156" w:beforeLines="50" w:after="156" w:afterLines="50" w:line="360" w:lineRule="auto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6">
    <w:name w:val="Char Char3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97">
    <w:name w:val="样式1"/>
    <w:basedOn w:val="1"/>
    <w:qFormat/>
    <w:uiPriority w:val="0"/>
    <w:pPr>
      <w:spacing w:line="300" w:lineRule="auto"/>
      <w:ind w:firstLine="480" w:firstLineChars="200"/>
    </w:pPr>
    <w:rPr>
      <w:sz w:val="24"/>
    </w:rPr>
  </w:style>
  <w:style w:type="paragraph" w:customStyle="1" w:styleId="98">
    <w:name w:val="paragraph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0">
    <w:name w:val="正文--表格内正文"/>
    <w:basedOn w:val="1"/>
    <w:qFormat/>
    <w:uiPriority w:val="0"/>
    <w:pPr>
      <w:spacing w:before="156" w:beforeLines="50" w:line="0" w:lineRule="atLeast"/>
      <w:jc w:val="center"/>
    </w:pPr>
    <w:rPr>
      <w:rFonts w:ascii="宋体" w:hAnsi="宋体"/>
      <w:sz w:val="24"/>
    </w:rPr>
  </w:style>
  <w:style w:type="paragraph" w:customStyle="1" w:styleId="101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102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character" w:customStyle="1" w:styleId="103">
    <w:name w:val="批注文字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4">
    <w:name w:val="纯文本 Char1"/>
    <w:semiHidden/>
    <w:qFormat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105">
    <w:name w:val="正文文本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6">
    <w:name w:val="正文文本 3 Char1"/>
    <w:semiHidden/>
    <w:qFormat/>
    <w:uiPriority w:val="99"/>
    <w:rPr>
      <w:rFonts w:ascii="Times New Roman" w:hAnsi="Times New Roman"/>
      <w:kern w:val="2"/>
      <w:sz w:val="16"/>
      <w:szCs w:val="16"/>
    </w:rPr>
  </w:style>
  <w:style w:type="character" w:customStyle="1" w:styleId="107">
    <w:name w:val="正文首行缩进 Char1"/>
    <w:basedOn w:val="105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8">
    <w:name w:val="正文文本缩进 3 Char1"/>
    <w:semiHidden/>
    <w:qFormat/>
    <w:uiPriority w:val="99"/>
    <w:rPr>
      <w:rFonts w:ascii="Times New Roman" w:hAnsi="Times New Roman"/>
      <w:kern w:val="2"/>
      <w:sz w:val="16"/>
      <w:szCs w:val="16"/>
    </w:rPr>
  </w:style>
  <w:style w:type="paragraph" w:customStyle="1" w:styleId="109">
    <w:name w:val="列出段落1"/>
    <w:basedOn w:val="1"/>
    <w:qFormat/>
    <w:uiPriority w:val="34"/>
    <w:pPr>
      <w:spacing w:line="360" w:lineRule="auto"/>
      <w:ind w:firstLine="200" w:firstLineChars="20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numbering" Target="numbering.xml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643CD-7379-47C3-A9FF-99F49A36CB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1919</Words>
  <Characters>2064</Characters>
  <Lines>29</Lines>
  <Paragraphs>8</Paragraphs>
  <TotalTime>45</TotalTime>
  <ScaleCrop>false</ScaleCrop>
  <LinksUpToDate>false</LinksUpToDate>
  <CharactersWithSpaces>2191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2017-11-16T06:35:00Z</dcterms:created>
  <dc:creator>Windows 用户</dc:creator>
  <cp:lastModifiedBy>Jabin</cp:lastModifiedBy>
  <dcterms:modified xsi:type="dcterms:W3CDTF">2023-02-20T02:14:26Z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7339D0A36D4D4483ACFB641404870898</vt:lpwstr>
  </property>
</Properties>
</file>