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156"/>
        </w:tabs>
        <w:jc w:val="center"/>
        <w:rPr>
          <w:rFonts w:ascii="微软雅黑" w:hAnsi="微软雅黑" w:eastAsia="微软雅黑" w:cs="微软雅黑"/>
          <w:b/>
          <w:color w:val="auto"/>
          <w:spacing w:val="20"/>
          <w:sz w:val="36"/>
          <w:szCs w:val="36"/>
        </w:rPr>
      </w:pPr>
      <w:r>
        <w:rPr>
          <w:rFonts w:hint="eastAsia" w:ascii="微软雅黑" w:hAnsi="微软雅黑" w:eastAsia="微软雅黑" w:cs="微软雅黑"/>
          <w:b/>
          <w:color w:val="auto"/>
          <w:spacing w:val="20"/>
          <w:sz w:val="36"/>
          <w:szCs w:val="36"/>
        </w:rPr>
        <w:t xml:space="preserve"> </w:t>
      </w: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hint="eastAsia" w:ascii="微软雅黑" w:hAnsi="微软雅黑" w:eastAsia="微软雅黑" w:cs="微软雅黑"/>
          <w:b/>
          <w:color w:val="auto"/>
          <w:spacing w:val="20"/>
          <w:sz w:val="44"/>
          <w:szCs w:val="44"/>
          <w:lang w:val="en-US" w:eastAsia="zh-CN"/>
        </w:rPr>
      </w:pPr>
      <w:r>
        <w:rPr>
          <w:rFonts w:hint="eastAsia" w:ascii="微软雅黑" w:hAnsi="微软雅黑" w:eastAsia="微软雅黑" w:cs="微软雅黑"/>
          <w:b/>
          <w:color w:val="auto"/>
          <w:spacing w:val="20"/>
          <w:sz w:val="44"/>
          <w:szCs w:val="44"/>
        </w:rPr>
        <w:t>江苏省</w:t>
      </w:r>
      <w:r>
        <w:rPr>
          <w:rFonts w:hint="eastAsia" w:ascii="微软雅黑" w:hAnsi="微软雅黑" w:eastAsia="微软雅黑" w:cs="微软雅黑"/>
          <w:b/>
          <w:color w:val="auto"/>
          <w:spacing w:val="20"/>
          <w:sz w:val="44"/>
          <w:szCs w:val="44"/>
          <w:lang w:val="en-US" w:eastAsia="zh-CN"/>
        </w:rPr>
        <w:t>采购监管平台</w:t>
      </w:r>
    </w:p>
    <w:p>
      <w:pPr>
        <w:tabs>
          <w:tab w:val="center" w:pos="4156"/>
        </w:tabs>
        <w:jc w:val="center"/>
        <w:rPr>
          <w:rFonts w:hint="eastAsia" w:ascii="微软雅黑" w:hAnsi="微软雅黑" w:eastAsia="微软雅黑" w:cs="微软雅黑"/>
          <w:b/>
          <w:color w:val="auto"/>
          <w:spacing w:val="20"/>
          <w:sz w:val="44"/>
          <w:szCs w:val="44"/>
          <w:lang w:val="en-US" w:eastAsia="zh-CN"/>
        </w:rPr>
      </w:pPr>
      <w:r>
        <w:rPr>
          <w:rFonts w:hint="eastAsia" w:ascii="微软雅黑" w:hAnsi="微软雅黑" w:eastAsia="微软雅黑" w:cs="微软雅黑"/>
          <w:b/>
          <w:color w:val="auto"/>
          <w:spacing w:val="20"/>
          <w:sz w:val="44"/>
          <w:szCs w:val="44"/>
          <w:lang w:val="en-US" w:eastAsia="zh-CN"/>
        </w:rPr>
        <w:t>区县财政用户手册</w:t>
      </w:r>
    </w:p>
    <w:p>
      <w:pPr>
        <w:tabs>
          <w:tab w:val="center" w:pos="4156"/>
        </w:tabs>
        <w:jc w:val="center"/>
        <w:rPr>
          <w:rFonts w:hint="eastAsia" w:ascii="微软雅黑" w:hAnsi="微软雅黑" w:eastAsia="微软雅黑" w:cs="微软雅黑"/>
          <w:b/>
          <w:color w:val="auto"/>
          <w:spacing w:val="20"/>
          <w:sz w:val="32"/>
          <w:szCs w:val="32"/>
        </w:rPr>
      </w:pPr>
    </w:p>
    <w:p>
      <w:pPr>
        <w:tabs>
          <w:tab w:val="center" w:pos="4156"/>
        </w:tabs>
        <w:jc w:val="center"/>
        <w:rPr>
          <w:rFonts w:hint="eastAsia" w:ascii="微软雅黑" w:hAnsi="微软雅黑" w:eastAsia="微软雅黑" w:cs="微软雅黑"/>
          <w:b/>
          <w:color w:val="auto"/>
          <w:spacing w:val="20"/>
          <w:sz w:val="32"/>
          <w:szCs w:val="32"/>
        </w:rPr>
      </w:pPr>
    </w:p>
    <w:p>
      <w:pPr>
        <w:tabs>
          <w:tab w:val="center" w:pos="4156"/>
        </w:tabs>
        <w:jc w:val="center"/>
        <w:rPr>
          <w:rFonts w:ascii="微软雅黑" w:hAnsi="微软雅黑" w:eastAsia="微软雅黑" w:cs="微软雅黑"/>
          <w:b/>
          <w:color w:val="auto"/>
          <w:spacing w:val="20"/>
          <w:sz w:val="32"/>
          <w:szCs w:val="32"/>
        </w:rPr>
      </w:pPr>
      <w:r>
        <w:rPr>
          <w:rFonts w:hint="eastAsia" w:ascii="微软雅黑" w:hAnsi="微软雅黑" w:eastAsia="微软雅黑" w:cs="微软雅黑"/>
          <w:b/>
          <w:color w:val="auto"/>
          <w:spacing w:val="20"/>
          <w:sz w:val="32"/>
          <w:szCs w:val="32"/>
        </w:rPr>
        <w:t>政府采购进口产品及采购方式变更审批</w:t>
      </w:r>
    </w:p>
    <w:p>
      <w:pPr>
        <w:tabs>
          <w:tab w:val="center" w:pos="4156"/>
        </w:tabs>
        <w:jc w:val="center"/>
        <w:rPr>
          <w:rFonts w:ascii="微软雅黑" w:hAnsi="微软雅黑" w:eastAsia="微软雅黑" w:cs="微软雅黑"/>
          <w:b/>
          <w:color w:val="auto"/>
          <w:spacing w:val="20"/>
          <w:sz w:val="44"/>
          <w:szCs w:val="44"/>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tabs>
          <w:tab w:val="center" w:pos="4156"/>
        </w:tabs>
        <w:jc w:val="center"/>
        <w:rPr>
          <w:rFonts w:ascii="微软雅黑" w:hAnsi="微软雅黑" w:eastAsia="微软雅黑" w:cs="微软雅黑"/>
          <w:b/>
          <w:color w:val="auto"/>
          <w:spacing w:val="20"/>
          <w:sz w:val="36"/>
          <w:szCs w:val="36"/>
        </w:rPr>
      </w:pPr>
    </w:p>
    <w:p>
      <w:pPr>
        <w:jc w:val="center"/>
        <w:rPr>
          <w:b/>
          <w:bCs/>
          <w:color w:val="auto"/>
          <w:sz w:val="32"/>
          <w:szCs w:val="32"/>
        </w:rPr>
      </w:pPr>
      <w:r>
        <w:rPr>
          <w:rFonts w:hint="eastAsia"/>
          <w:b/>
          <w:bCs/>
          <w:color w:val="auto"/>
          <w:sz w:val="32"/>
          <w:szCs w:val="32"/>
        </w:rPr>
        <w:t>目</w:t>
      </w:r>
      <w:r>
        <w:rPr>
          <w:b/>
          <w:bCs/>
          <w:color w:val="auto"/>
          <w:sz w:val="32"/>
          <w:szCs w:val="32"/>
        </w:rPr>
        <w:t xml:space="preserve"> </w:t>
      </w:r>
      <w:r>
        <w:rPr>
          <w:rFonts w:hint="eastAsia"/>
          <w:b/>
          <w:bCs/>
          <w:color w:val="auto"/>
          <w:sz w:val="32"/>
          <w:szCs w:val="32"/>
        </w:rPr>
        <w:t>录</w:t>
      </w:r>
    </w:p>
    <w:p>
      <w:pPr>
        <w:pStyle w:val="11"/>
        <w:tabs>
          <w:tab w:val="right" w:leader="dot" w:pos="9026"/>
        </w:tabs>
        <w:rPr>
          <w:rFonts w:ascii="Calibri" w:hAnsi="Calibri"/>
          <w:b w:val="0"/>
          <w:bCs w:val="0"/>
          <w:color w:val="auto"/>
          <w:szCs w:val="22"/>
        </w:rPr>
      </w:pPr>
      <w:r>
        <w:rPr>
          <w:b w:val="0"/>
          <w:bCs w:val="0"/>
          <w:color w:val="auto"/>
          <w:sz w:val="44"/>
        </w:rPr>
        <w:fldChar w:fldCharType="begin"/>
      </w:r>
      <w:r>
        <w:rPr>
          <w:b w:val="0"/>
          <w:bCs w:val="0"/>
          <w:color w:val="auto"/>
          <w:sz w:val="44"/>
        </w:rPr>
        <w:instrText xml:space="preserve">TOC \o "1-3" \h  \u </w:instrText>
      </w:r>
      <w:r>
        <w:rPr>
          <w:b w:val="0"/>
          <w:bCs w:val="0"/>
          <w:color w:val="auto"/>
          <w:sz w:val="44"/>
        </w:rPr>
        <w:fldChar w:fldCharType="separate"/>
      </w:r>
      <w:r>
        <w:rPr>
          <w:color w:val="auto"/>
        </w:rPr>
        <w:fldChar w:fldCharType="begin"/>
      </w:r>
      <w:r>
        <w:rPr>
          <w:color w:val="auto"/>
        </w:rPr>
        <w:instrText xml:space="preserve"> HYPERLINK "file:///C:\\Users\\yuzhengjin\\Desktop\\进口产品审批和采购方式变更用户手册\\江苏省政府采购进口产品审批及采购方式变更_用户手册（操作手册）.doc" \l "_Toc478597974" </w:instrText>
      </w:r>
      <w:r>
        <w:rPr>
          <w:color w:val="auto"/>
        </w:rPr>
        <w:fldChar w:fldCharType="separate"/>
      </w:r>
      <w:r>
        <w:rPr>
          <w:rStyle w:val="15"/>
          <w:rFonts w:hint="eastAsia"/>
          <w:color w:val="auto"/>
        </w:rPr>
        <w:t>第</w:t>
      </w:r>
      <w:r>
        <w:rPr>
          <w:rStyle w:val="15"/>
          <w:color w:val="auto"/>
        </w:rPr>
        <w:t>1</w:t>
      </w:r>
      <w:r>
        <w:rPr>
          <w:rStyle w:val="15"/>
          <w:rFonts w:hint="eastAsia"/>
          <w:color w:val="auto"/>
        </w:rPr>
        <w:t>章</w:t>
      </w:r>
      <w:r>
        <w:rPr>
          <w:rStyle w:val="15"/>
          <w:color w:val="auto"/>
        </w:rPr>
        <w:t xml:space="preserve"> </w:t>
      </w:r>
      <w:r>
        <w:rPr>
          <w:rStyle w:val="15"/>
          <w:rFonts w:hint="eastAsia"/>
          <w:color w:val="auto"/>
        </w:rPr>
        <w:t>系统登录</w:t>
      </w:r>
      <w:r>
        <w:rPr>
          <w:rStyle w:val="15"/>
          <w:rFonts w:ascii="Arial Narrow" w:hAnsi="Arial Narrow"/>
          <w:color w:val="auto"/>
          <w:szCs w:val="20"/>
          <w:u w:val="none"/>
        </w:rPr>
        <w:tab/>
      </w:r>
      <w:r>
        <w:rPr>
          <w:rStyle w:val="15"/>
          <w:rFonts w:hint="eastAsia" w:ascii="Arial Narrow" w:hAnsi="Arial Narrow"/>
          <w:color w:val="auto"/>
          <w:szCs w:val="20"/>
          <w:u w:val="none"/>
        </w:rPr>
        <w:t>2</w:t>
      </w:r>
      <w:r>
        <w:rPr>
          <w:rStyle w:val="15"/>
          <w:rFonts w:hint="eastAsia" w:ascii="Arial Narrow" w:hAnsi="Arial Narrow"/>
          <w:color w:val="auto"/>
          <w:szCs w:val="20"/>
          <w:u w:val="none"/>
        </w:rPr>
        <w:fldChar w:fldCharType="end"/>
      </w:r>
    </w:p>
    <w:p>
      <w:pPr>
        <w:pStyle w:val="11"/>
        <w:tabs>
          <w:tab w:val="right" w:leader="dot" w:pos="9026"/>
        </w:tabs>
        <w:rPr>
          <w:rFonts w:ascii="Calibri" w:hAnsi="Calibri"/>
          <w:b w:val="0"/>
          <w:bCs w:val="0"/>
          <w:color w:val="auto"/>
          <w:szCs w:val="22"/>
        </w:rPr>
      </w:pPr>
      <w:r>
        <w:rPr>
          <w:color w:val="auto"/>
        </w:rPr>
        <w:fldChar w:fldCharType="begin"/>
      </w:r>
      <w:r>
        <w:rPr>
          <w:color w:val="auto"/>
        </w:rPr>
        <w:instrText xml:space="preserve"> HYPERLINK "file:///C:\\Users\\yuzhengjin\\Desktop\\进口产品审批和采购方式变更用户手册\\江苏省政府采购进口产品审批及采购方式变更_用户手册（操作手册）.doc" \l "_Toc478597975" </w:instrText>
      </w:r>
      <w:r>
        <w:rPr>
          <w:color w:val="auto"/>
        </w:rPr>
        <w:fldChar w:fldCharType="separate"/>
      </w:r>
      <w:r>
        <w:rPr>
          <w:rStyle w:val="15"/>
          <w:rFonts w:hint="eastAsia"/>
          <w:color w:val="auto"/>
        </w:rPr>
        <w:t>第</w:t>
      </w:r>
      <w:r>
        <w:rPr>
          <w:rStyle w:val="15"/>
          <w:color w:val="auto"/>
        </w:rPr>
        <w:t>2</w:t>
      </w:r>
      <w:r>
        <w:rPr>
          <w:rStyle w:val="15"/>
          <w:rFonts w:hint="eastAsia"/>
          <w:color w:val="auto"/>
        </w:rPr>
        <w:t>章</w:t>
      </w:r>
      <w:r>
        <w:rPr>
          <w:rStyle w:val="15"/>
          <w:color w:val="auto"/>
        </w:rPr>
        <w:t xml:space="preserve"> </w:t>
      </w:r>
      <w:r>
        <w:rPr>
          <w:rStyle w:val="15"/>
          <w:rFonts w:hint="eastAsia"/>
          <w:color w:val="auto"/>
        </w:rPr>
        <w:t>系统操作</w:t>
      </w:r>
      <w:r>
        <w:rPr>
          <w:rStyle w:val="15"/>
          <w:rFonts w:ascii="Arial Narrow" w:hAnsi="Arial Narrow"/>
          <w:color w:val="auto"/>
          <w:szCs w:val="20"/>
          <w:u w:val="none"/>
        </w:rPr>
        <w:tab/>
      </w:r>
      <w:r>
        <w:rPr>
          <w:rStyle w:val="15"/>
          <w:rFonts w:hint="eastAsia" w:ascii="Arial Narrow" w:hAnsi="Arial Narrow"/>
          <w:color w:val="auto"/>
          <w:szCs w:val="20"/>
          <w:u w:val="none"/>
        </w:rPr>
        <w:t>3</w:t>
      </w:r>
      <w:r>
        <w:rPr>
          <w:rStyle w:val="15"/>
          <w:rFonts w:hint="eastAsia" w:ascii="Arial Narrow" w:hAnsi="Arial Narrow"/>
          <w:color w:val="auto"/>
          <w:szCs w:val="20"/>
          <w:u w:val="none"/>
        </w:rPr>
        <w:fldChar w:fldCharType="end"/>
      </w:r>
    </w:p>
    <w:p>
      <w:pPr>
        <w:pStyle w:val="12"/>
        <w:tabs>
          <w:tab w:val="right" w:leader="dot" w:pos="9026"/>
        </w:tabs>
        <w:rPr>
          <w:rFonts w:ascii="Calibri" w:hAnsi="Calibri"/>
          <w:iCs w:val="0"/>
          <w:color w:val="auto"/>
          <w:szCs w:val="22"/>
        </w:rPr>
      </w:pPr>
      <w:r>
        <w:rPr>
          <w:color w:val="auto"/>
        </w:rPr>
        <w:fldChar w:fldCharType="begin"/>
      </w:r>
      <w:r>
        <w:rPr>
          <w:color w:val="auto"/>
        </w:rPr>
        <w:instrText xml:space="preserve"> HYPERLINK "file:///C:\\Users\\yuzhengjin\\Desktop\\进口产品审批和采购方式变更用户手册\\江苏省政府采购进口产品审批及采购方式变更_用户手册（操作手册）.doc" \l "_Toc478597976" </w:instrText>
      </w:r>
      <w:r>
        <w:rPr>
          <w:color w:val="auto"/>
        </w:rPr>
        <w:fldChar w:fldCharType="separate"/>
      </w:r>
      <w:r>
        <w:rPr>
          <w:rStyle w:val="15"/>
          <w:color w:val="auto"/>
        </w:rPr>
        <w:t xml:space="preserve">2.1 </w:t>
      </w:r>
      <w:r>
        <w:rPr>
          <w:rStyle w:val="15"/>
          <w:rFonts w:hint="eastAsia"/>
          <w:color w:val="auto"/>
        </w:rPr>
        <w:t>进口产品审批</w:t>
      </w:r>
      <w:r>
        <w:rPr>
          <w:rStyle w:val="15"/>
          <w:rFonts w:ascii="Times New Roman" w:hAnsi="Times New Roman" w:cs="Times New Roman"/>
          <w:color w:val="auto"/>
          <w:szCs w:val="20"/>
          <w:u w:val="none"/>
        </w:rPr>
        <w:tab/>
      </w:r>
      <w:r>
        <w:rPr>
          <w:rStyle w:val="15"/>
          <w:rFonts w:hint="eastAsia" w:ascii="Times New Roman" w:hAnsi="Times New Roman" w:cs="Times New Roman"/>
          <w:color w:val="auto"/>
          <w:szCs w:val="20"/>
          <w:u w:val="none"/>
        </w:rPr>
        <w:t>3</w:t>
      </w:r>
      <w:r>
        <w:rPr>
          <w:rStyle w:val="15"/>
          <w:rFonts w:hint="eastAsia" w:ascii="Times New Roman" w:hAnsi="Times New Roman" w:cs="Times New Roman"/>
          <w:color w:val="auto"/>
          <w:szCs w:val="20"/>
          <w:u w:val="none"/>
        </w:rPr>
        <w:fldChar w:fldCharType="end"/>
      </w:r>
    </w:p>
    <w:p>
      <w:pPr>
        <w:pStyle w:val="7"/>
        <w:tabs>
          <w:tab w:val="right" w:leader="dot" w:pos="9026"/>
        </w:tabs>
        <w:rPr>
          <w:rFonts w:ascii="Calibri" w:hAnsi="Calibri"/>
          <w:color w:val="auto"/>
          <w:szCs w:val="22"/>
        </w:rPr>
      </w:pPr>
      <w:r>
        <w:rPr>
          <w:color w:val="auto"/>
        </w:rPr>
        <w:fldChar w:fldCharType="begin"/>
      </w:r>
      <w:r>
        <w:rPr>
          <w:color w:val="auto"/>
        </w:rPr>
        <w:instrText xml:space="preserve"> HYPERLINK "file:///C:\\Users\\yuzhengjin\\Desktop\\进口产品审批和采购方式变更用户手册\\江苏省政府采购进口产品审批及采购方式变更_用户手册（操作手册）.doc" \l "_Toc478597977" </w:instrText>
      </w:r>
      <w:r>
        <w:rPr>
          <w:color w:val="auto"/>
        </w:rPr>
        <w:fldChar w:fldCharType="separate"/>
      </w:r>
      <w:r>
        <w:rPr>
          <w:rStyle w:val="15"/>
          <w:rFonts w:hint="eastAsia" w:ascii="宋体" w:hAnsi="宋体" w:cs="宋体"/>
          <w:color w:val="auto"/>
        </w:rPr>
        <w:t>2.1.1</w:t>
      </w:r>
      <w:r>
        <w:rPr>
          <w:rStyle w:val="15"/>
          <w:color w:val="auto"/>
        </w:rPr>
        <w:t xml:space="preserve"> </w:t>
      </w:r>
      <w:r>
        <w:rPr>
          <w:rStyle w:val="15"/>
          <w:rFonts w:hint="eastAsia"/>
          <w:color w:val="auto"/>
        </w:rPr>
        <w:t>进口产品申报</w:t>
      </w:r>
      <w:r>
        <w:rPr>
          <w:rStyle w:val="15"/>
          <w:rFonts w:ascii="Times New Roman" w:hAnsi="Times New Roman" w:cs="Times New Roman"/>
          <w:color w:val="auto"/>
          <w:szCs w:val="20"/>
          <w:u w:val="none"/>
        </w:rPr>
        <w:tab/>
      </w:r>
      <w:r>
        <w:rPr>
          <w:rStyle w:val="15"/>
          <w:rFonts w:hint="eastAsia" w:ascii="Times New Roman" w:hAnsi="Times New Roman" w:cs="Times New Roman"/>
          <w:color w:val="auto"/>
          <w:szCs w:val="20"/>
          <w:u w:val="none"/>
        </w:rPr>
        <w:t>4</w:t>
      </w:r>
      <w:r>
        <w:rPr>
          <w:rStyle w:val="15"/>
          <w:rFonts w:hint="eastAsia" w:ascii="Times New Roman" w:hAnsi="Times New Roman" w:cs="Times New Roman"/>
          <w:color w:val="auto"/>
          <w:szCs w:val="20"/>
          <w:u w:val="none"/>
        </w:rPr>
        <w:fldChar w:fldCharType="end"/>
      </w:r>
    </w:p>
    <w:p>
      <w:pPr>
        <w:pStyle w:val="7"/>
        <w:tabs>
          <w:tab w:val="right" w:leader="dot" w:pos="9026"/>
        </w:tabs>
        <w:rPr>
          <w:rFonts w:ascii="Calibri" w:hAnsi="Calibri"/>
          <w:color w:val="auto"/>
          <w:szCs w:val="22"/>
        </w:rPr>
      </w:pPr>
      <w:r>
        <w:rPr>
          <w:color w:val="auto"/>
        </w:rPr>
        <w:fldChar w:fldCharType="begin"/>
      </w:r>
      <w:r>
        <w:rPr>
          <w:color w:val="auto"/>
        </w:rPr>
        <w:instrText xml:space="preserve"> HYPERLINK "file:///C:\\Users\\yuzhengjin\\Desktop\\进口产品审批和采购方式变更用户手册\\江苏省政府采购进口产品审批及采购方式变更_用户手册（操作手册）.doc" \l "_Toc478597978" </w:instrText>
      </w:r>
      <w:r>
        <w:rPr>
          <w:color w:val="auto"/>
        </w:rPr>
        <w:fldChar w:fldCharType="separate"/>
      </w:r>
      <w:r>
        <w:rPr>
          <w:rStyle w:val="15"/>
          <w:rFonts w:hint="eastAsia" w:ascii="宋体" w:hAnsi="宋体" w:cs="宋体"/>
          <w:color w:val="auto"/>
        </w:rPr>
        <w:t>2.1.2</w:t>
      </w:r>
      <w:r>
        <w:rPr>
          <w:rStyle w:val="15"/>
          <w:color w:val="auto"/>
        </w:rPr>
        <w:t xml:space="preserve"> </w:t>
      </w:r>
      <w:r>
        <w:rPr>
          <w:rStyle w:val="15"/>
          <w:rFonts w:hint="eastAsia"/>
          <w:color w:val="auto"/>
        </w:rPr>
        <w:t>进口产品查询</w:t>
      </w:r>
      <w:r>
        <w:rPr>
          <w:rStyle w:val="15"/>
          <w:rFonts w:ascii="Times New Roman" w:hAnsi="Times New Roman" w:cs="Times New Roman"/>
          <w:color w:val="auto"/>
          <w:szCs w:val="20"/>
          <w:u w:val="none"/>
        </w:rPr>
        <w:tab/>
      </w:r>
      <w:r>
        <w:rPr>
          <w:rStyle w:val="15"/>
          <w:rFonts w:hint="eastAsia" w:ascii="Times New Roman" w:hAnsi="Times New Roman" w:cs="Times New Roman"/>
          <w:color w:val="auto"/>
          <w:szCs w:val="20"/>
          <w:u w:val="none"/>
        </w:rPr>
        <w:t>19</w:t>
      </w:r>
      <w:r>
        <w:rPr>
          <w:rStyle w:val="15"/>
          <w:rFonts w:hint="eastAsia" w:ascii="Times New Roman" w:hAnsi="Times New Roman" w:cs="Times New Roman"/>
          <w:color w:val="auto"/>
          <w:szCs w:val="20"/>
          <w:u w:val="none"/>
        </w:rPr>
        <w:fldChar w:fldCharType="end"/>
      </w:r>
    </w:p>
    <w:p>
      <w:pPr>
        <w:pStyle w:val="12"/>
        <w:tabs>
          <w:tab w:val="right" w:leader="dot" w:pos="9026"/>
        </w:tabs>
        <w:rPr>
          <w:rFonts w:ascii="Calibri" w:hAnsi="Calibri"/>
          <w:iCs w:val="0"/>
          <w:color w:val="auto"/>
          <w:szCs w:val="22"/>
        </w:rPr>
      </w:pPr>
      <w:r>
        <w:rPr>
          <w:color w:val="auto"/>
        </w:rPr>
        <w:fldChar w:fldCharType="begin"/>
      </w:r>
      <w:r>
        <w:rPr>
          <w:color w:val="auto"/>
        </w:rPr>
        <w:instrText xml:space="preserve"> HYPERLINK "file:///C:\\Users\\yuzhengjin\\Desktop\\进口产品审批和采购方式变更用户手册\\江苏省政府采购进口产品审批及采购方式变更_用户手册（操作手册）.doc" \l "_Toc478597979" </w:instrText>
      </w:r>
      <w:r>
        <w:rPr>
          <w:color w:val="auto"/>
        </w:rPr>
        <w:fldChar w:fldCharType="separate"/>
      </w:r>
      <w:r>
        <w:rPr>
          <w:rStyle w:val="15"/>
          <w:color w:val="auto"/>
        </w:rPr>
        <w:t xml:space="preserve">2.2 </w:t>
      </w:r>
      <w:r>
        <w:rPr>
          <w:rStyle w:val="15"/>
          <w:rFonts w:hint="eastAsia"/>
          <w:color w:val="auto"/>
        </w:rPr>
        <w:t>采购方式变更</w:t>
      </w:r>
      <w:r>
        <w:rPr>
          <w:rStyle w:val="15"/>
          <w:rFonts w:ascii="Times New Roman" w:hAnsi="Times New Roman" w:cs="Times New Roman"/>
          <w:color w:val="auto"/>
          <w:szCs w:val="20"/>
          <w:u w:val="none"/>
        </w:rPr>
        <w:tab/>
      </w:r>
      <w:r>
        <w:rPr>
          <w:rStyle w:val="15"/>
          <w:rFonts w:ascii="Times New Roman" w:hAnsi="Times New Roman" w:cs="Times New Roman"/>
          <w:color w:val="auto"/>
          <w:szCs w:val="20"/>
          <w:u w:val="none"/>
        </w:rPr>
        <w:fldChar w:fldCharType="begin"/>
      </w:r>
      <w:r>
        <w:rPr>
          <w:rStyle w:val="15"/>
          <w:rFonts w:ascii="Times New Roman" w:hAnsi="Times New Roman" w:cs="Times New Roman"/>
          <w:color w:val="auto"/>
          <w:szCs w:val="20"/>
          <w:u w:val="none"/>
        </w:rPr>
        <w:instrText xml:space="preserve"> PAGEREF _Toc478597979 \h </w:instrText>
      </w:r>
      <w:r>
        <w:rPr>
          <w:rStyle w:val="15"/>
          <w:rFonts w:ascii="Times New Roman" w:hAnsi="Times New Roman" w:cs="Times New Roman"/>
          <w:color w:val="auto"/>
          <w:szCs w:val="20"/>
          <w:u w:val="none"/>
        </w:rPr>
        <w:fldChar w:fldCharType="separate"/>
      </w:r>
      <w:r>
        <w:rPr>
          <w:rStyle w:val="15"/>
          <w:rFonts w:ascii="Times New Roman" w:hAnsi="Times New Roman" w:cs="Times New Roman"/>
          <w:color w:val="auto"/>
          <w:szCs w:val="20"/>
          <w:u w:val="none"/>
        </w:rPr>
        <w:t>22</w:t>
      </w:r>
      <w:r>
        <w:rPr>
          <w:rStyle w:val="15"/>
          <w:rFonts w:ascii="Times New Roman" w:hAnsi="Times New Roman" w:cs="Times New Roman"/>
          <w:color w:val="auto"/>
          <w:szCs w:val="20"/>
          <w:u w:val="none"/>
        </w:rPr>
        <w:fldChar w:fldCharType="end"/>
      </w:r>
      <w:r>
        <w:rPr>
          <w:rStyle w:val="15"/>
          <w:rFonts w:ascii="Times New Roman" w:hAnsi="Times New Roman" w:cs="Times New Roman"/>
          <w:color w:val="auto"/>
          <w:szCs w:val="20"/>
          <w:u w:val="none"/>
        </w:rPr>
        <w:fldChar w:fldCharType="end"/>
      </w:r>
    </w:p>
    <w:p>
      <w:pPr>
        <w:pStyle w:val="7"/>
        <w:tabs>
          <w:tab w:val="right" w:leader="dot" w:pos="9026"/>
        </w:tabs>
        <w:rPr>
          <w:rFonts w:ascii="Calibri" w:hAnsi="Calibri"/>
          <w:color w:val="auto"/>
          <w:szCs w:val="22"/>
        </w:rPr>
      </w:pPr>
      <w:r>
        <w:rPr>
          <w:color w:val="auto"/>
        </w:rPr>
        <w:fldChar w:fldCharType="begin"/>
      </w:r>
      <w:r>
        <w:rPr>
          <w:color w:val="auto"/>
        </w:rPr>
        <w:instrText xml:space="preserve"> HYPERLINK "file:///C:\\Users\\yuzhengjin\\Desktop\\进口产品审批和采购方式变更用户手册\\江苏省政府采购进口产品审批及采购方式变更_用户手册（操作手册）.doc" \l "_Toc478597980" </w:instrText>
      </w:r>
      <w:r>
        <w:rPr>
          <w:color w:val="auto"/>
        </w:rPr>
        <w:fldChar w:fldCharType="separate"/>
      </w:r>
      <w:r>
        <w:rPr>
          <w:rStyle w:val="15"/>
          <w:rFonts w:hint="eastAsia" w:ascii="宋体" w:hAnsi="宋体" w:cs="宋体"/>
          <w:color w:val="auto"/>
        </w:rPr>
        <w:t>2.2.1</w:t>
      </w:r>
      <w:r>
        <w:rPr>
          <w:rStyle w:val="15"/>
          <w:color w:val="auto"/>
        </w:rPr>
        <w:t xml:space="preserve"> </w:t>
      </w:r>
      <w:r>
        <w:rPr>
          <w:rStyle w:val="15"/>
          <w:rFonts w:hint="eastAsia"/>
          <w:color w:val="auto"/>
        </w:rPr>
        <w:t>采购方式变更申请</w:t>
      </w:r>
      <w:r>
        <w:rPr>
          <w:rStyle w:val="15"/>
          <w:rFonts w:ascii="Times New Roman" w:hAnsi="Times New Roman" w:cs="Times New Roman"/>
          <w:color w:val="auto"/>
          <w:szCs w:val="20"/>
          <w:u w:val="none"/>
        </w:rPr>
        <w:tab/>
      </w:r>
      <w:r>
        <w:rPr>
          <w:rStyle w:val="15"/>
          <w:rFonts w:hint="eastAsia" w:ascii="Times New Roman" w:hAnsi="Times New Roman" w:cs="Times New Roman"/>
          <w:color w:val="auto"/>
          <w:szCs w:val="20"/>
          <w:u w:val="none"/>
        </w:rPr>
        <w:t>23</w:t>
      </w:r>
      <w:r>
        <w:rPr>
          <w:rStyle w:val="15"/>
          <w:rFonts w:hint="eastAsia" w:ascii="Times New Roman" w:hAnsi="Times New Roman" w:cs="Times New Roman"/>
          <w:color w:val="auto"/>
          <w:szCs w:val="20"/>
          <w:u w:val="none"/>
        </w:rPr>
        <w:fldChar w:fldCharType="end"/>
      </w:r>
    </w:p>
    <w:p>
      <w:pPr>
        <w:pStyle w:val="7"/>
        <w:tabs>
          <w:tab w:val="right" w:leader="dot" w:pos="9026"/>
        </w:tabs>
        <w:rPr>
          <w:rFonts w:ascii="Calibri" w:hAnsi="Calibri"/>
          <w:color w:val="auto"/>
          <w:szCs w:val="22"/>
        </w:rPr>
      </w:pPr>
      <w:r>
        <w:rPr>
          <w:color w:val="auto"/>
        </w:rPr>
        <w:fldChar w:fldCharType="begin"/>
      </w:r>
      <w:r>
        <w:rPr>
          <w:color w:val="auto"/>
        </w:rPr>
        <w:instrText xml:space="preserve"> HYPERLINK "file:///C:\\Users\\yuzhengjin\\Desktop\\进口产品审批和采购方式变更用户手册\\江苏省政府采购进口产品审批及采购方式变更_用户手册（操作手册）.doc" \l "_Toc478597981" </w:instrText>
      </w:r>
      <w:r>
        <w:rPr>
          <w:color w:val="auto"/>
        </w:rPr>
        <w:fldChar w:fldCharType="separate"/>
      </w:r>
      <w:r>
        <w:rPr>
          <w:rStyle w:val="15"/>
          <w:rFonts w:hint="eastAsia" w:ascii="宋体" w:hAnsi="宋体" w:cs="宋体"/>
          <w:color w:val="auto"/>
        </w:rPr>
        <w:t>2.2.2</w:t>
      </w:r>
      <w:r>
        <w:rPr>
          <w:rStyle w:val="15"/>
          <w:color w:val="auto"/>
        </w:rPr>
        <w:t xml:space="preserve"> </w:t>
      </w:r>
      <w:r>
        <w:rPr>
          <w:rStyle w:val="15"/>
          <w:rFonts w:hint="eastAsia"/>
          <w:color w:val="auto"/>
        </w:rPr>
        <w:t>采购方式变更查询</w:t>
      </w:r>
      <w:r>
        <w:rPr>
          <w:rStyle w:val="15"/>
          <w:rFonts w:ascii="Times New Roman" w:hAnsi="Times New Roman" w:cs="Times New Roman"/>
          <w:color w:val="auto"/>
          <w:szCs w:val="20"/>
          <w:u w:val="none"/>
        </w:rPr>
        <w:tab/>
      </w:r>
      <w:r>
        <w:rPr>
          <w:rStyle w:val="15"/>
          <w:rFonts w:hint="eastAsia" w:ascii="Times New Roman" w:hAnsi="Times New Roman" w:cs="Times New Roman"/>
          <w:color w:val="auto"/>
          <w:szCs w:val="20"/>
          <w:u w:val="none"/>
        </w:rPr>
        <w:t>42</w:t>
      </w:r>
      <w:r>
        <w:rPr>
          <w:rStyle w:val="15"/>
          <w:rFonts w:hint="eastAsia" w:ascii="Times New Roman" w:hAnsi="Times New Roman" w:cs="Times New Roman"/>
          <w:color w:val="auto"/>
          <w:szCs w:val="20"/>
          <w:u w:val="none"/>
        </w:rPr>
        <w:fldChar w:fldCharType="end"/>
      </w:r>
    </w:p>
    <w:p>
      <w:pPr>
        <w:tabs>
          <w:tab w:val="center" w:pos="4156"/>
        </w:tabs>
        <w:jc w:val="center"/>
        <w:rPr>
          <w:rFonts w:ascii="微软雅黑" w:hAnsi="微软雅黑" w:eastAsia="微软雅黑" w:cs="微软雅黑"/>
          <w:b/>
          <w:color w:val="auto"/>
          <w:spacing w:val="20"/>
          <w:sz w:val="36"/>
          <w:szCs w:val="36"/>
        </w:rPr>
      </w:pPr>
      <w:r>
        <w:rPr>
          <w:bCs/>
          <w:color w:val="auto"/>
        </w:rPr>
        <w:fldChar w:fldCharType="end"/>
      </w:r>
    </w:p>
    <w:p>
      <w:pPr>
        <w:rPr>
          <w:color w:val="auto"/>
        </w:rPr>
      </w:pPr>
    </w:p>
    <w:p>
      <w:pPr>
        <w:rPr>
          <w:color w:val="auto"/>
        </w:rPr>
      </w:pPr>
    </w:p>
    <w:p>
      <w:pPr>
        <w:pStyle w:val="2"/>
        <w:numPr>
          <w:ilvl w:val="0"/>
          <w:numId w:val="2"/>
        </w:numPr>
        <w:tabs>
          <w:tab w:val="left" w:pos="420"/>
        </w:tabs>
        <w:rPr>
          <w:bCs/>
          <w:color w:val="auto"/>
          <w:szCs w:val="48"/>
        </w:rPr>
      </w:pPr>
      <w:bookmarkStart w:id="0" w:name="_Toc478597974"/>
      <w:r>
        <w:rPr>
          <w:rFonts w:hint="eastAsia"/>
          <w:bCs/>
          <w:color w:val="auto"/>
          <w:szCs w:val="48"/>
        </w:rPr>
        <w:t>系统</w:t>
      </w:r>
      <w:bookmarkEnd w:id="0"/>
      <w:r>
        <w:rPr>
          <w:rFonts w:hint="eastAsia"/>
          <w:bCs/>
          <w:color w:val="auto"/>
          <w:szCs w:val="48"/>
        </w:rPr>
        <w:t>登录</w:t>
      </w:r>
    </w:p>
    <w:p>
      <w:pPr>
        <w:ind w:firstLine="480"/>
        <w:rPr>
          <w:color w:val="auto"/>
        </w:rPr>
      </w:pPr>
      <w:r>
        <w:rPr>
          <w:rFonts w:hint="eastAsia"/>
          <w:color w:val="auto"/>
        </w:rPr>
        <w:t>打开</w:t>
      </w:r>
      <w:r>
        <w:rPr>
          <w:color w:val="auto"/>
        </w:rPr>
        <w:fldChar w:fldCharType="begin"/>
      </w:r>
      <w:r>
        <w:rPr>
          <w:color w:val="auto"/>
        </w:rPr>
        <w:instrText xml:space="preserve"> HYPERLINK "http://www.ccgp-jiangsu.gov.cn/" </w:instrText>
      </w:r>
      <w:r>
        <w:rPr>
          <w:color w:val="auto"/>
        </w:rPr>
        <w:fldChar w:fldCharType="separate"/>
      </w:r>
      <w:r>
        <w:rPr>
          <w:rStyle w:val="15"/>
          <w:color w:val="auto"/>
        </w:rPr>
        <w:t>http://www.ccgp-jiangsu.gov.cn/</w:t>
      </w:r>
      <w:r>
        <w:rPr>
          <w:rStyle w:val="15"/>
          <w:color w:val="auto"/>
        </w:rPr>
        <w:fldChar w:fldCharType="end"/>
      </w:r>
      <w:r>
        <w:rPr>
          <w:rStyle w:val="15"/>
          <w:color w:val="auto"/>
        </w:rPr>
        <w:t>zfcgjd</w:t>
      </w:r>
      <w:r>
        <w:rPr>
          <w:rFonts w:hint="eastAsia"/>
          <w:color w:val="auto"/>
        </w:rPr>
        <w:t>进入江苏省政府采购监督管理平台，注意此地址只用于财政用户访问登录，采购人访问地址请见采购人操作指南手册。</w:t>
      </w:r>
    </w:p>
    <w:p>
      <w:pPr>
        <w:rPr>
          <w:color w:val="auto"/>
        </w:rPr>
      </w:pPr>
      <w:r>
        <w:rPr>
          <w:color w:val="auto"/>
        </w:rPr>
        <w:drawing>
          <wp:inline distT="0" distB="0" distL="0" distR="0">
            <wp:extent cx="5274310" cy="294576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4310" cy="2946044"/>
                    </a:xfrm>
                    <a:prstGeom prst="rect">
                      <a:avLst/>
                    </a:prstGeom>
                  </pic:spPr>
                </pic:pic>
              </a:graphicData>
            </a:graphic>
          </wp:inline>
        </w:drawing>
      </w:r>
    </w:p>
    <w:p>
      <w:pPr>
        <w:ind w:firstLine="480"/>
        <w:rPr>
          <w:color w:val="auto"/>
        </w:rPr>
      </w:pPr>
      <w:r>
        <w:rPr>
          <w:rFonts w:hint="eastAsia"/>
          <w:color w:val="auto"/>
        </w:rPr>
        <w:t>选择地区，录入姓名拼音首字母（如王伟华，就输入“wwh”）、密码（默认密码123）、验证码，按登录按钮进入系统：</w:t>
      </w:r>
    </w:p>
    <w:p>
      <w:pPr>
        <w:widowControl/>
        <w:jc w:val="left"/>
        <w:rPr>
          <w:color w:val="auto"/>
        </w:rPr>
      </w:pPr>
      <w:r>
        <w:rPr>
          <w:color w:val="auto"/>
        </w:rPr>
        <w:drawing>
          <wp:inline distT="0" distB="0" distL="0" distR="0">
            <wp:extent cx="5274310" cy="229870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2298964"/>
                    </a:xfrm>
                    <a:prstGeom prst="rect">
                      <a:avLst/>
                    </a:prstGeom>
                  </pic:spPr>
                </pic:pic>
              </a:graphicData>
            </a:graphic>
          </wp:inline>
        </w:drawing>
      </w:r>
    </w:p>
    <w:p>
      <w:pPr>
        <w:ind w:firstLine="480"/>
        <w:rPr>
          <w:color w:val="auto"/>
        </w:rPr>
      </w:pPr>
    </w:p>
    <w:p>
      <w:pPr>
        <w:rPr>
          <w:color w:val="auto"/>
        </w:rPr>
      </w:pPr>
    </w:p>
    <w:p>
      <w:pPr>
        <w:rPr>
          <w:color w:val="auto"/>
        </w:rPr>
      </w:pPr>
    </w:p>
    <w:p>
      <w:pPr>
        <w:pStyle w:val="2"/>
        <w:numPr>
          <w:ilvl w:val="0"/>
          <w:numId w:val="2"/>
        </w:numPr>
        <w:tabs>
          <w:tab w:val="left" w:pos="420"/>
        </w:tabs>
        <w:rPr>
          <w:bCs/>
          <w:color w:val="auto"/>
          <w:szCs w:val="48"/>
        </w:rPr>
      </w:pPr>
      <w:r>
        <w:rPr>
          <w:rFonts w:hint="eastAsia"/>
          <w:bCs/>
          <w:color w:val="auto"/>
          <w:szCs w:val="48"/>
        </w:rPr>
        <w:t>进口产品审批</w:t>
      </w:r>
    </w:p>
    <w:p>
      <w:pPr>
        <w:pStyle w:val="3"/>
        <w:numPr>
          <w:ilvl w:val="1"/>
          <w:numId w:val="2"/>
        </w:numPr>
        <w:spacing w:line="360" w:lineRule="auto"/>
        <w:rPr>
          <w:color w:val="auto"/>
        </w:rPr>
      </w:pPr>
      <w:bookmarkStart w:id="1" w:name="_Toc478597976"/>
      <w:r>
        <w:rPr>
          <w:rFonts w:hint="eastAsia"/>
          <w:color w:val="auto"/>
        </w:rPr>
        <w:t>进口产品</w:t>
      </w:r>
      <w:bookmarkEnd w:id="1"/>
      <w:r>
        <w:rPr>
          <w:rFonts w:hint="eastAsia"/>
          <w:color w:val="auto"/>
        </w:rPr>
        <w:t>申报所需材料</w:t>
      </w:r>
    </w:p>
    <w:p>
      <w:pPr>
        <w:numPr>
          <w:ilvl w:val="0"/>
          <w:numId w:val="1"/>
        </w:numPr>
        <w:spacing w:line="240" w:lineRule="auto"/>
        <w:rPr>
          <w:rFonts w:ascii="宋体" w:hAnsi="宋体"/>
          <w:b/>
          <w:color w:val="auto"/>
        </w:rPr>
      </w:pPr>
      <w:r>
        <w:rPr>
          <w:rFonts w:hint="eastAsia" w:ascii="宋体" w:hAnsi="宋体"/>
          <w:b/>
          <w:color w:val="auto"/>
        </w:rPr>
        <w:t>进口产品类型（有三类）</w:t>
      </w:r>
    </w:p>
    <w:p>
      <w:pPr>
        <w:ind w:left="720"/>
        <w:rPr>
          <w:rFonts w:ascii="宋体" w:hAnsi="宋体"/>
          <w:color w:val="auto"/>
        </w:rPr>
      </w:pPr>
      <w:r>
        <w:rPr>
          <w:rFonts w:hint="eastAsia" w:ascii="宋体" w:hAnsi="宋体"/>
          <w:color w:val="auto"/>
        </w:rPr>
        <w:t>（一）其他进口产品；</w:t>
      </w:r>
    </w:p>
    <w:p>
      <w:pPr>
        <w:ind w:left="720"/>
        <w:rPr>
          <w:rFonts w:ascii="宋体" w:hAnsi="宋体"/>
          <w:color w:val="auto"/>
        </w:rPr>
      </w:pPr>
      <w:r>
        <w:rPr>
          <w:rFonts w:hint="eastAsia" w:ascii="宋体" w:hAnsi="宋体"/>
          <w:color w:val="auto"/>
        </w:rPr>
        <w:t>（二）鼓励进口产品；</w:t>
      </w:r>
    </w:p>
    <w:p>
      <w:pPr>
        <w:ind w:left="720"/>
        <w:rPr>
          <w:rFonts w:ascii="宋体" w:hAnsi="宋体"/>
          <w:color w:val="auto"/>
        </w:rPr>
      </w:pPr>
      <w:r>
        <w:rPr>
          <w:rFonts w:hint="eastAsia" w:ascii="宋体" w:hAnsi="宋体"/>
          <w:color w:val="auto"/>
        </w:rPr>
        <w:t>（三）限制进口产品；</w:t>
      </w:r>
    </w:p>
    <w:p>
      <w:pPr>
        <w:numPr>
          <w:ilvl w:val="0"/>
          <w:numId w:val="1"/>
        </w:numPr>
        <w:spacing w:line="240" w:lineRule="auto"/>
        <w:rPr>
          <w:rFonts w:ascii="宋体" w:hAnsi="宋体"/>
          <w:b/>
          <w:color w:val="auto"/>
        </w:rPr>
      </w:pPr>
      <w:r>
        <w:rPr>
          <w:rFonts w:hint="eastAsia" w:ascii="宋体" w:hAnsi="宋体"/>
          <w:b/>
          <w:color w:val="auto"/>
        </w:rPr>
        <w:t>采购人需提供材料</w:t>
      </w:r>
    </w:p>
    <w:p>
      <w:pPr>
        <w:ind w:firstLine="480" w:firstLineChars="200"/>
        <w:rPr>
          <w:rFonts w:ascii="宋体" w:hAnsi="宋体" w:cs="宋体"/>
          <w:color w:val="auto"/>
          <w:kern w:val="0"/>
        </w:rPr>
      </w:pPr>
      <w:r>
        <w:rPr>
          <w:rFonts w:hint="eastAsia" w:ascii="宋体" w:hAnsi="宋体" w:cs="宋体"/>
          <w:color w:val="auto"/>
          <w:kern w:val="0"/>
        </w:rPr>
        <w:t>（一）《政府采购进口产品申请表》；</w:t>
      </w:r>
    </w:p>
    <w:p>
      <w:pPr>
        <w:ind w:firstLine="480" w:firstLineChars="200"/>
        <w:rPr>
          <w:rFonts w:ascii="宋体" w:hAnsi="宋体" w:cs="宋体"/>
          <w:color w:val="auto"/>
          <w:kern w:val="0"/>
        </w:rPr>
      </w:pPr>
      <w:r>
        <w:rPr>
          <w:rFonts w:hint="eastAsia" w:ascii="宋体" w:hAnsi="宋体" w:cs="宋体"/>
          <w:color w:val="auto"/>
          <w:kern w:val="0"/>
        </w:rPr>
        <w:t>（二）进口产品所属行业的设区的市以上主管部门出具的《政府采购进口产品所属行业主管部门意见》；</w:t>
      </w:r>
    </w:p>
    <w:p>
      <w:pPr>
        <w:ind w:firstLine="480" w:firstLineChars="200"/>
        <w:rPr>
          <w:rFonts w:ascii="宋体" w:hAnsi="宋体" w:cs="宋体"/>
          <w:color w:val="auto"/>
          <w:kern w:val="0"/>
        </w:rPr>
      </w:pPr>
      <w:r>
        <w:rPr>
          <w:rFonts w:hint="eastAsia" w:ascii="宋体" w:hAnsi="宋体" w:cs="宋体"/>
          <w:color w:val="auto"/>
          <w:kern w:val="0"/>
        </w:rPr>
        <w:t>（三）专家组出具的《政府采购进口产品专家论证意见》；</w:t>
      </w:r>
    </w:p>
    <w:p>
      <w:pPr>
        <w:ind w:firstLine="480" w:firstLineChars="200"/>
        <w:rPr>
          <w:rFonts w:ascii="宋体" w:hAnsi="宋体" w:cs="宋体"/>
          <w:color w:val="auto"/>
          <w:kern w:val="0"/>
        </w:rPr>
      </w:pPr>
      <w:r>
        <w:rPr>
          <w:rFonts w:hint="eastAsia" w:ascii="宋体" w:hAnsi="宋体" w:cs="宋体"/>
          <w:color w:val="auto"/>
          <w:kern w:val="0"/>
        </w:rPr>
        <w:t>（四）关于鼓励进口产品的国家法律法规政策文件复印件。</w:t>
      </w:r>
    </w:p>
    <w:p>
      <w:pPr>
        <w:ind w:left="705"/>
        <w:rPr>
          <w:rFonts w:ascii="宋体" w:hAnsi="宋体"/>
          <w:b/>
          <w:color w:val="auto"/>
        </w:rPr>
      </w:pPr>
      <w:r>
        <w:rPr>
          <w:rFonts w:hint="eastAsia" w:ascii="宋体" w:hAnsi="宋体"/>
          <w:b/>
          <w:color w:val="auto"/>
        </w:rPr>
        <w:t>三、各类型需提供材料</w:t>
      </w:r>
    </w:p>
    <w:p>
      <w:pPr>
        <w:ind w:firstLine="723" w:firstLineChars="300"/>
        <w:rPr>
          <w:rFonts w:ascii="宋体" w:hAnsi="宋体"/>
          <w:b/>
          <w:color w:val="auto"/>
        </w:rPr>
      </w:pPr>
      <w:r>
        <w:rPr>
          <w:rFonts w:hint="eastAsia" w:ascii="宋体" w:hAnsi="宋体"/>
          <w:b/>
          <w:color w:val="auto"/>
        </w:rPr>
        <w:t>（一）鼓励进口产品</w:t>
      </w:r>
    </w:p>
    <w:p>
      <w:pPr>
        <w:ind w:firstLine="480" w:firstLineChars="200"/>
        <w:rPr>
          <w:rFonts w:ascii="宋体" w:hAnsi="宋体" w:cs="宋体"/>
          <w:color w:val="auto"/>
          <w:kern w:val="0"/>
        </w:rPr>
      </w:pPr>
      <w:r>
        <w:rPr>
          <w:rFonts w:hint="eastAsia" w:ascii="宋体" w:hAnsi="宋体" w:cs="宋体"/>
          <w:color w:val="auto"/>
          <w:kern w:val="0"/>
        </w:rPr>
        <w:t>需提供材料：（一）《政府采购进口产品申请表》，要求在理由阐述中注明关于鼓励进口产品的国家法律法规政策文件名称及文号。</w:t>
      </w:r>
    </w:p>
    <w:p>
      <w:pPr>
        <w:ind w:firstLine="480" w:firstLineChars="200"/>
        <w:rPr>
          <w:rFonts w:ascii="宋体" w:hAnsi="宋体" w:cs="宋体"/>
          <w:color w:val="auto"/>
          <w:kern w:val="0"/>
        </w:rPr>
      </w:pPr>
      <w:r>
        <w:rPr>
          <w:rFonts w:hint="eastAsia" w:ascii="宋体" w:hAnsi="宋体" w:cs="宋体"/>
          <w:color w:val="auto"/>
          <w:kern w:val="0"/>
        </w:rPr>
        <w:t>《申请表》最后加附件，由采购人将以上所填表打印并加盖单位公章后以扫描件或拍照上传。</w:t>
      </w:r>
    </w:p>
    <w:p>
      <w:pPr>
        <w:ind w:firstLine="723" w:firstLineChars="300"/>
        <w:rPr>
          <w:rFonts w:ascii="宋体" w:hAnsi="宋体"/>
          <w:b/>
          <w:color w:val="auto"/>
        </w:rPr>
      </w:pPr>
      <w:r>
        <w:rPr>
          <w:rFonts w:hint="eastAsia" w:ascii="宋体" w:hAnsi="宋体"/>
          <w:b/>
          <w:color w:val="auto"/>
        </w:rPr>
        <w:t>（二）限制进口产品</w:t>
      </w:r>
    </w:p>
    <w:p>
      <w:pPr>
        <w:ind w:firstLine="480" w:firstLineChars="200"/>
        <w:rPr>
          <w:rFonts w:ascii="宋体" w:hAnsi="宋体" w:cs="宋体"/>
          <w:color w:val="auto"/>
          <w:kern w:val="0"/>
        </w:rPr>
      </w:pPr>
      <w:r>
        <w:rPr>
          <w:rFonts w:hint="eastAsia" w:ascii="宋体" w:hAnsi="宋体" w:cs="宋体"/>
          <w:color w:val="auto"/>
          <w:kern w:val="0"/>
        </w:rPr>
        <w:t>需提供材料：（一）《政府采购进口产品申请表》；（二）《政府采购进口产品所属行业主管部门意见》；（三）专家组出具的《政府采购进口产品专家论证意见》。</w:t>
      </w:r>
    </w:p>
    <w:p>
      <w:pPr>
        <w:ind w:firstLine="480" w:firstLineChars="200"/>
        <w:rPr>
          <w:rFonts w:ascii="宋体" w:hAnsi="宋体" w:cs="宋体"/>
          <w:color w:val="auto"/>
          <w:kern w:val="0"/>
        </w:rPr>
      </w:pPr>
      <w:r>
        <w:rPr>
          <w:rFonts w:hint="eastAsia" w:ascii="宋体" w:hAnsi="宋体" w:cs="宋体"/>
          <w:color w:val="auto"/>
          <w:kern w:val="0"/>
        </w:rPr>
        <w:t>《申请表》最后加附件，由采购人将以上所填表（一）、（二）、（三）打印加盖单位公章后以扫描件或拍照上传（其中主管部门意见表中申请理由阐述由采购人网上填写后打印此表由主管部门签字盖章）。</w:t>
      </w:r>
    </w:p>
    <w:p>
      <w:pPr>
        <w:ind w:left="720"/>
        <w:rPr>
          <w:rFonts w:ascii="宋体" w:hAnsi="宋体"/>
          <w:b/>
          <w:color w:val="auto"/>
        </w:rPr>
      </w:pPr>
      <w:r>
        <w:rPr>
          <w:rFonts w:hint="eastAsia" w:ascii="宋体" w:hAnsi="宋体"/>
          <w:b/>
          <w:color w:val="auto"/>
        </w:rPr>
        <w:t>（三）其他进口产品</w:t>
      </w:r>
    </w:p>
    <w:p>
      <w:pPr>
        <w:ind w:firstLine="480" w:firstLineChars="200"/>
        <w:rPr>
          <w:rFonts w:ascii="宋体" w:hAnsi="宋体" w:cs="宋体"/>
          <w:color w:val="auto"/>
          <w:kern w:val="0"/>
        </w:rPr>
      </w:pPr>
      <w:r>
        <w:rPr>
          <w:rFonts w:hint="eastAsia" w:ascii="宋体" w:hAnsi="宋体" w:cs="宋体"/>
          <w:color w:val="auto"/>
          <w:kern w:val="0"/>
        </w:rPr>
        <w:t>需提供材料：（一）《政府采购进口产品申请表》；（二）《政府采购进口产品所属行业主管部门意见》</w:t>
      </w:r>
      <w:r>
        <w:rPr>
          <w:rFonts w:hint="eastAsia" w:ascii="宋体" w:hAnsi="宋体" w:cs="宋体"/>
          <w:color w:val="auto"/>
          <w:kern w:val="0"/>
          <w:lang w:eastAsia="zh-CN"/>
        </w:rPr>
        <w:t>；</w:t>
      </w:r>
      <w:r>
        <w:rPr>
          <w:rFonts w:hint="eastAsia" w:ascii="宋体" w:hAnsi="宋体" w:cs="宋体"/>
          <w:color w:val="auto"/>
          <w:kern w:val="0"/>
        </w:rPr>
        <w:t>（三）专家组出具的《政府采购进口产品专家论证意见》。</w:t>
      </w:r>
    </w:p>
    <w:p>
      <w:pPr>
        <w:ind w:firstLine="480" w:firstLineChars="200"/>
        <w:rPr>
          <w:rFonts w:ascii="宋体" w:hAnsi="宋体" w:cs="宋体"/>
          <w:color w:val="auto"/>
          <w:kern w:val="0"/>
        </w:rPr>
      </w:pPr>
      <w:r>
        <w:rPr>
          <w:rFonts w:hint="eastAsia" w:ascii="宋体" w:hAnsi="宋体" w:cs="宋体"/>
          <w:color w:val="auto"/>
          <w:kern w:val="0"/>
        </w:rPr>
        <w:t>《申请表》最后加附件，由采购人将以上所填表（一）、（二）</w:t>
      </w:r>
      <w:r>
        <w:rPr>
          <w:rFonts w:hint="eastAsia" w:ascii="宋体" w:hAnsi="宋体" w:cs="宋体"/>
          <w:color w:val="auto"/>
          <w:kern w:val="0"/>
          <w:lang w:eastAsia="zh-CN"/>
        </w:rPr>
        <w:t>、</w:t>
      </w:r>
      <w:r>
        <w:rPr>
          <w:rFonts w:hint="eastAsia" w:ascii="宋体" w:hAnsi="宋体" w:cs="宋体"/>
          <w:color w:val="auto"/>
          <w:kern w:val="0"/>
        </w:rPr>
        <w:t>（三）打印并分别加盖部门、单位公章后</w:t>
      </w:r>
      <w:r>
        <w:rPr>
          <w:rFonts w:hint="eastAsia" w:ascii="宋体" w:hAnsi="宋体" w:cs="宋体"/>
          <w:color w:val="auto"/>
          <w:kern w:val="0"/>
          <w:lang w:eastAsia="zh-CN"/>
        </w:rPr>
        <w:t>，</w:t>
      </w:r>
      <w:r>
        <w:rPr>
          <w:rFonts w:hint="eastAsia" w:ascii="宋体" w:hAnsi="宋体" w:cs="宋体"/>
          <w:color w:val="auto"/>
          <w:kern w:val="0"/>
        </w:rPr>
        <w:t>以扫描件或拍照上传（</w:t>
      </w:r>
      <w:r>
        <w:rPr>
          <w:rFonts w:hint="eastAsia" w:ascii="宋体" w:hAnsi="宋体" w:cs="宋体"/>
          <w:color w:val="auto"/>
          <w:kern w:val="0"/>
          <w:highlight w:val="none"/>
        </w:rPr>
        <w:t>其中主管部门意见表中申请理由阐述由采购人网上填写后</w:t>
      </w:r>
      <w:r>
        <w:rPr>
          <w:rFonts w:hint="eastAsia" w:ascii="宋体" w:hAnsi="宋体" w:cs="宋体"/>
          <w:color w:val="auto"/>
          <w:kern w:val="0"/>
          <w:highlight w:val="none"/>
          <w:lang w:eastAsia="zh-CN"/>
        </w:rPr>
        <w:t>，</w:t>
      </w:r>
      <w:r>
        <w:rPr>
          <w:rFonts w:hint="eastAsia" w:ascii="宋体" w:hAnsi="宋体" w:cs="宋体"/>
          <w:color w:val="auto"/>
          <w:kern w:val="0"/>
          <w:highlight w:val="none"/>
        </w:rPr>
        <w:t>打印此表由主管部门签字盖章</w:t>
      </w:r>
      <w:r>
        <w:rPr>
          <w:rFonts w:hint="eastAsia" w:ascii="宋体" w:hAnsi="宋体" w:cs="宋体"/>
          <w:color w:val="auto"/>
          <w:kern w:val="0"/>
        </w:rPr>
        <w:t>）。</w:t>
      </w:r>
    </w:p>
    <w:p>
      <w:pPr>
        <w:pStyle w:val="3"/>
        <w:numPr>
          <w:ilvl w:val="1"/>
          <w:numId w:val="2"/>
        </w:numPr>
        <w:tabs>
          <w:tab w:val="clear" w:pos="1425"/>
        </w:tabs>
        <w:spacing w:line="360" w:lineRule="auto"/>
        <w:rPr>
          <w:color w:val="auto"/>
        </w:rPr>
      </w:pPr>
      <w:bookmarkStart w:id="2" w:name="_Toc478597977"/>
      <w:r>
        <w:rPr>
          <w:rFonts w:hint="eastAsia"/>
          <w:color w:val="auto"/>
        </w:rPr>
        <w:t>进口产品</w:t>
      </w:r>
      <w:bookmarkEnd w:id="2"/>
      <w:r>
        <w:rPr>
          <w:rFonts w:hint="eastAsia"/>
          <w:color w:val="auto"/>
        </w:rPr>
        <w:t>审批</w:t>
      </w:r>
    </w:p>
    <w:p>
      <w:pPr>
        <w:pStyle w:val="4"/>
        <w:numPr>
          <w:ilvl w:val="2"/>
          <w:numId w:val="2"/>
        </w:numPr>
        <w:tabs>
          <w:tab w:val="clear" w:pos="0"/>
          <w:tab w:val="clear" w:pos="1425"/>
        </w:tabs>
        <w:rPr>
          <w:color w:val="auto"/>
        </w:rPr>
      </w:pPr>
      <w:r>
        <w:rPr>
          <w:rFonts w:hint="eastAsia"/>
          <w:color w:val="auto"/>
        </w:rPr>
        <w:t>进口产品审批业务流程图</w:t>
      </w:r>
    </w:p>
    <w:p>
      <w:pPr>
        <w:pStyle w:val="5"/>
        <w:ind w:firstLine="0"/>
        <w:jc w:val="center"/>
        <w:rPr>
          <w:color w:val="auto"/>
        </w:rPr>
      </w:pPr>
      <w:r>
        <w:rPr>
          <w:color w:val="auto"/>
        </w:rPr>
        <w:drawing>
          <wp:inline distT="0" distB="0" distL="0" distR="0">
            <wp:extent cx="3856355" cy="314261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3859486" cy="3145660"/>
                    </a:xfrm>
                    <a:prstGeom prst="rect">
                      <a:avLst/>
                    </a:prstGeom>
                  </pic:spPr>
                </pic:pic>
              </a:graphicData>
            </a:graphic>
          </wp:inline>
        </w:drawing>
      </w:r>
    </w:p>
    <w:p>
      <w:pPr>
        <w:rPr>
          <w:color w:val="auto"/>
        </w:rPr>
      </w:pPr>
      <w:r>
        <w:rPr>
          <w:rFonts w:hint="eastAsia"/>
          <w:color w:val="auto"/>
        </w:rPr>
        <w:t xml:space="preserve">                             </w:t>
      </w:r>
    </w:p>
    <w:p>
      <w:pPr>
        <w:pStyle w:val="4"/>
        <w:numPr>
          <w:ilvl w:val="2"/>
          <w:numId w:val="2"/>
        </w:numPr>
        <w:tabs>
          <w:tab w:val="clear" w:pos="0"/>
          <w:tab w:val="clear" w:pos="1425"/>
        </w:tabs>
        <w:rPr>
          <w:color w:val="auto"/>
        </w:rPr>
      </w:pPr>
      <w:r>
        <w:rPr>
          <w:rFonts w:hint="eastAsia"/>
          <w:color w:val="auto"/>
        </w:rPr>
        <w:t>进口产品审批操作</w:t>
      </w:r>
    </w:p>
    <w:p>
      <w:pPr>
        <w:pStyle w:val="6"/>
        <w:numPr>
          <w:ilvl w:val="0"/>
          <w:numId w:val="0"/>
        </w:numPr>
        <w:rPr>
          <w:color w:val="auto"/>
        </w:rPr>
      </w:pPr>
      <w:r>
        <w:rPr>
          <w:rFonts w:hint="eastAsia"/>
          <w:color w:val="auto"/>
        </w:rPr>
        <w:t>2.2.2.1县区采购科初审</w:t>
      </w:r>
    </w:p>
    <w:p>
      <w:pPr>
        <w:ind w:firstLine="480"/>
        <w:rPr>
          <w:color w:val="auto"/>
        </w:rPr>
      </w:pPr>
      <w:r>
        <w:rPr>
          <w:rFonts w:hint="eastAsia"/>
          <w:color w:val="auto"/>
        </w:rPr>
        <w:t>专管员点击待办事项中的相应链接（如下图），打开审批页面：</w:t>
      </w:r>
    </w:p>
    <w:p>
      <w:pPr>
        <w:rPr>
          <w:color w:val="auto"/>
        </w:rPr>
      </w:pPr>
      <w:r>
        <w:rPr>
          <w:color w:val="auto"/>
        </w:rPr>
        <w:drawing>
          <wp:inline distT="0" distB="0" distL="0" distR="0">
            <wp:extent cx="5274310" cy="19253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74310" cy="1925367"/>
                    </a:xfrm>
                    <a:prstGeom prst="rect">
                      <a:avLst/>
                    </a:prstGeom>
                  </pic:spPr>
                </pic:pic>
              </a:graphicData>
            </a:graphic>
          </wp:inline>
        </w:drawing>
      </w:r>
    </w:p>
    <w:p>
      <w:pPr>
        <w:ind w:firstLine="480"/>
        <w:rPr>
          <w:color w:val="auto"/>
        </w:rPr>
      </w:pPr>
      <w:r>
        <w:rPr>
          <w:rFonts w:hint="eastAsia"/>
          <w:color w:val="auto"/>
        </w:rPr>
        <w:t xml:space="preserve"> “待受理”状态的记录，就是采购单位提交申报的进口产品（如下图）。点击“选择”，勾选后点“审核”按钮，</w:t>
      </w:r>
    </w:p>
    <w:p>
      <w:pPr>
        <w:rPr>
          <w:color w:val="auto"/>
        </w:rPr>
      </w:pPr>
      <w:r>
        <w:rPr>
          <w:color w:val="auto"/>
        </w:rPr>
        <w:drawing>
          <wp:inline distT="0" distB="0" distL="0" distR="0">
            <wp:extent cx="5274310" cy="188468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9"/>
                    <a:stretch>
                      <a:fillRect/>
                    </a:stretch>
                  </pic:blipFill>
                  <pic:spPr>
                    <a:xfrm>
                      <a:off x="0" y="0"/>
                      <a:ext cx="5274310" cy="1885077"/>
                    </a:xfrm>
                    <a:prstGeom prst="rect">
                      <a:avLst/>
                    </a:prstGeom>
                  </pic:spPr>
                </pic:pic>
              </a:graphicData>
            </a:graphic>
          </wp:inline>
        </w:drawing>
      </w:r>
    </w:p>
    <w:p>
      <w:pPr>
        <w:ind w:firstLine="480"/>
        <w:rPr>
          <w:color w:val="auto"/>
        </w:rPr>
      </w:pPr>
      <w:r>
        <w:rPr>
          <w:rFonts w:hint="eastAsia"/>
          <w:color w:val="auto"/>
        </w:rPr>
        <w:t>报表信息栏，点击不同的报表，右边栏相应刷新显示。附件信息栏，</w:t>
      </w:r>
      <w:bookmarkStart w:id="31" w:name="_GoBack"/>
      <w:r>
        <w:rPr>
          <w:rFonts w:hint="eastAsia"/>
          <w:color w:val="auto"/>
          <w:highlight w:val="none"/>
        </w:rPr>
        <w:t>可以</w:t>
      </w:r>
      <w:r>
        <w:rPr>
          <w:rFonts w:hint="eastAsia"/>
          <w:color w:val="auto"/>
          <w:highlight w:val="none"/>
          <w:lang w:eastAsia="zh-CN"/>
        </w:rPr>
        <w:t>“</w:t>
      </w:r>
      <w:r>
        <w:rPr>
          <w:rFonts w:ascii="宋体" w:hAnsi="宋体" w:eastAsia="宋体" w:cs="宋体"/>
          <w:color w:val="auto"/>
          <w:sz w:val="24"/>
          <w:szCs w:val="24"/>
          <w:highlight w:val="none"/>
        </w:rPr>
        <w:t>点蓝色的箭头</w:t>
      </w:r>
      <w:r>
        <w:rPr>
          <w:rFonts w:hint="eastAsia"/>
          <w:color w:val="auto"/>
          <w:highlight w:val="none"/>
          <w:lang w:eastAsia="zh-CN"/>
        </w:rPr>
        <w:t>”</w:t>
      </w:r>
      <w:r>
        <w:rPr>
          <w:rFonts w:hint="eastAsia"/>
          <w:color w:val="auto"/>
          <w:highlight w:val="none"/>
        </w:rPr>
        <w:t>下载查看相应的申报材料信息。</w:t>
      </w:r>
      <w:bookmarkEnd w:id="31"/>
      <w:r>
        <w:rPr>
          <w:rFonts w:hint="eastAsia"/>
          <w:color w:val="auto"/>
        </w:rPr>
        <w:t>审批通过，则在处理结果中勾选“同意”，点“确定”按钮则该项目提交至市采购处审核状态；如果需要退回，点“退回”按钮，输入处理意见，点“确定”按钮，即退回到采购单位。</w:t>
      </w:r>
    </w:p>
    <w:p>
      <w:pPr>
        <w:rPr>
          <w:color w:val="auto"/>
        </w:rPr>
      </w:pPr>
      <w:r>
        <w:rPr>
          <w:color w:val="auto"/>
        </w:rPr>
        <w:drawing>
          <wp:inline distT="0" distB="0" distL="0" distR="0">
            <wp:extent cx="5274310" cy="2969895"/>
            <wp:effectExtent l="0" t="0" r="254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0"/>
                    <a:stretch>
                      <a:fillRect/>
                    </a:stretch>
                  </pic:blipFill>
                  <pic:spPr>
                    <a:xfrm>
                      <a:off x="0" y="0"/>
                      <a:ext cx="5274310" cy="2970462"/>
                    </a:xfrm>
                    <a:prstGeom prst="rect">
                      <a:avLst/>
                    </a:prstGeom>
                  </pic:spPr>
                </pic:pic>
              </a:graphicData>
            </a:graphic>
          </wp:inline>
        </w:drawing>
      </w:r>
    </w:p>
    <w:p>
      <w:pPr>
        <w:pStyle w:val="4"/>
        <w:numPr>
          <w:ilvl w:val="2"/>
          <w:numId w:val="2"/>
        </w:numPr>
        <w:tabs>
          <w:tab w:val="clear" w:pos="0"/>
        </w:tabs>
        <w:rPr>
          <w:color w:val="auto"/>
        </w:rPr>
      </w:pPr>
      <w:bookmarkStart w:id="3" w:name="_Toc478597978"/>
      <w:r>
        <w:rPr>
          <w:rFonts w:hint="eastAsia"/>
          <w:color w:val="auto"/>
        </w:rPr>
        <w:t>进口产品查询</w:t>
      </w:r>
      <w:bookmarkEnd w:id="3"/>
    </w:p>
    <w:p>
      <w:pPr>
        <w:pStyle w:val="5"/>
        <w:rPr>
          <w:color w:val="auto"/>
        </w:rPr>
      </w:pPr>
      <w:r>
        <w:rPr>
          <w:rFonts w:hint="eastAsia"/>
          <w:color w:val="auto"/>
        </w:rPr>
        <w:t>进口产品申报提交后，申报信息被提交到采购处待受理状态，区县数据则是由本地采购部门审核后</w:t>
      </w:r>
      <w:r>
        <w:rPr>
          <w:rFonts w:hint="eastAsia"/>
          <w:color w:val="auto"/>
          <w:lang w:eastAsia="zh-CN"/>
        </w:rPr>
        <w:t>，</w:t>
      </w:r>
      <w:r>
        <w:rPr>
          <w:rFonts w:hint="eastAsia"/>
          <w:color w:val="auto"/>
        </w:rPr>
        <w:t>发送至市级部门进行下一步的审核，此时在申报界面上看不到申报信息了。</w:t>
      </w:r>
    </w:p>
    <w:p>
      <w:pPr>
        <w:pStyle w:val="5"/>
        <w:rPr>
          <w:color w:val="auto"/>
        </w:rPr>
      </w:pPr>
      <w:r>
        <w:rPr>
          <w:rFonts w:hint="eastAsia"/>
          <w:color w:val="auto"/>
        </w:rPr>
        <w:t>如要查看申报的流程信息，在进口产品查询中都可以查询到信息，包括签章信息。</w:t>
      </w:r>
    </w:p>
    <w:p>
      <w:pPr>
        <w:pStyle w:val="5"/>
        <w:ind w:firstLine="0"/>
        <w:rPr>
          <w:color w:val="auto"/>
        </w:rPr>
      </w:pPr>
      <w:r>
        <w:rPr>
          <w:color w:val="auto"/>
        </w:rPr>
        <w:drawing>
          <wp:inline distT="0" distB="0" distL="0" distR="0">
            <wp:extent cx="5274310" cy="12490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1249596"/>
                    </a:xfrm>
                    <a:prstGeom prst="rect">
                      <a:avLst/>
                    </a:prstGeom>
                  </pic:spPr>
                </pic:pic>
              </a:graphicData>
            </a:graphic>
          </wp:inline>
        </w:drawing>
      </w:r>
    </w:p>
    <w:p>
      <w:pPr>
        <w:pStyle w:val="5"/>
        <w:ind w:firstLine="480"/>
        <w:rPr>
          <w:color w:val="auto"/>
        </w:rPr>
      </w:pPr>
      <w:r>
        <w:rPr>
          <w:rFonts w:hint="eastAsia" w:ascii="宋体" w:hAnsi="宋体"/>
          <w:bCs/>
          <w:iCs/>
          <w:color w:val="auto"/>
        </w:rPr>
        <w:t>选中一条数据，点击【流程查看】可以看到当前所在流程；</w:t>
      </w:r>
      <w:r>
        <w:rPr>
          <w:rFonts w:hint="eastAsia"/>
          <w:color w:val="auto"/>
        </w:rPr>
        <w:t>其中，从开始到结束，所有的流程结点都会在流程图中列出，系统使用蓝色箭头表示当前申请已经走过的流程，以方便看到当前数据的状态。</w:t>
      </w:r>
    </w:p>
    <w:p>
      <w:pPr>
        <w:pStyle w:val="5"/>
        <w:ind w:firstLine="480"/>
        <w:rPr>
          <w:color w:val="auto"/>
        </w:rPr>
      </w:pPr>
      <w:r>
        <w:rPr>
          <w:rFonts w:hint="eastAsia"/>
          <w:color w:val="auto"/>
        </w:rPr>
        <w:t>蓝衣服头像表示已经走过的流程，黄衣服头像表示当前状态，鼠标指向头像时可以看到前后结点的经办人或审核人信息，以及做过的历史操作信息。</w:t>
      </w:r>
    </w:p>
    <w:p>
      <w:pPr>
        <w:rPr>
          <w:rFonts w:ascii="宋体" w:hAnsi="宋体"/>
          <w:b/>
          <w:iCs/>
          <w:color w:val="auto"/>
          <w:szCs w:val="20"/>
        </w:rPr>
      </w:pPr>
      <w:r>
        <w:rPr>
          <w:rFonts w:hint="eastAsia"/>
          <w:color w:val="auto"/>
        </w:rPr>
        <w:t>若有审核退回时，可出现红色箭头的流程；</w:t>
      </w:r>
    </w:p>
    <w:p>
      <w:pPr>
        <w:jc w:val="center"/>
        <w:rPr>
          <w:color w:val="auto"/>
        </w:rPr>
      </w:pPr>
      <w:r>
        <w:rPr>
          <w:color w:val="auto"/>
        </w:rPr>
        <w:drawing>
          <wp:inline distT="0" distB="0" distL="0" distR="0">
            <wp:extent cx="4538345" cy="18376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a:stretch>
                      <a:fillRect/>
                    </a:stretch>
                  </pic:blipFill>
                  <pic:spPr>
                    <a:xfrm>
                      <a:off x="0" y="0"/>
                      <a:ext cx="4543711" cy="1840097"/>
                    </a:xfrm>
                    <a:prstGeom prst="rect">
                      <a:avLst/>
                    </a:prstGeom>
                  </pic:spPr>
                </pic:pic>
              </a:graphicData>
            </a:graphic>
          </wp:inline>
        </w:drawing>
      </w:r>
    </w:p>
    <w:p>
      <w:pPr>
        <w:pStyle w:val="5"/>
        <w:ind w:firstLine="0"/>
        <w:rPr>
          <w:color w:val="auto"/>
        </w:rPr>
      </w:pPr>
    </w:p>
    <w:p>
      <w:pPr>
        <w:pStyle w:val="5"/>
        <w:ind w:firstLine="0"/>
        <w:rPr>
          <w:color w:val="auto"/>
        </w:rPr>
      </w:pPr>
    </w:p>
    <w:p>
      <w:pPr>
        <w:pStyle w:val="5"/>
        <w:ind w:firstLine="0"/>
        <w:jc w:val="center"/>
        <w:rPr>
          <w:color w:val="auto"/>
        </w:rPr>
      </w:pPr>
      <w:r>
        <w:rPr>
          <w:color w:val="auto"/>
        </w:rPr>
        <w:drawing>
          <wp:inline distT="0" distB="0" distL="0" distR="0">
            <wp:extent cx="4547870" cy="2299970"/>
            <wp:effectExtent l="0" t="0" r="5080" b="508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3"/>
                    <a:stretch>
                      <a:fillRect/>
                    </a:stretch>
                  </pic:blipFill>
                  <pic:spPr>
                    <a:xfrm>
                      <a:off x="0" y="0"/>
                      <a:ext cx="4549854" cy="2301257"/>
                    </a:xfrm>
                    <a:prstGeom prst="rect">
                      <a:avLst/>
                    </a:prstGeom>
                  </pic:spPr>
                </pic:pic>
              </a:graphicData>
            </a:graphic>
          </wp:inline>
        </w:drawing>
      </w:r>
    </w:p>
    <w:p>
      <w:pPr>
        <w:pStyle w:val="2"/>
        <w:numPr>
          <w:ilvl w:val="0"/>
          <w:numId w:val="2"/>
        </w:numPr>
        <w:tabs>
          <w:tab w:val="left" w:pos="420"/>
        </w:tabs>
        <w:rPr>
          <w:bCs/>
          <w:color w:val="auto"/>
          <w:szCs w:val="48"/>
        </w:rPr>
      </w:pPr>
      <w:bookmarkStart w:id="4" w:name="_Toc478597979"/>
      <w:r>
        <w:rPr>
          <w:rFonts w:hint="eastAsia"/>
          <w:bCs/>
          <w:color w:val="auto"/>
          <w:szCs w:val="48"/>
        </w:rPr>
        <w:t>采购方式变更</w:t>
      </w:r>
      <w:bookmarkEnd w:id="4"/>
      <w:r>
        <w:rPr>
          <w:rFonts w:hint="eastAsia"/>
          <w:bCs/>
          <w:color w:val="auto"/>
          <w:szCs w:val="48"/>
        </w:rPr>
        <w:t>审批</w:t>
      </w:r>
    </w:p>
    <w:p>
      <w:pPr>
        <w:pStyle w:val="3"/>
        <w:numPr>
          <w:ilvl w:val="1"/>
          <w:numId w:val="2"/>
        </w:numPr>
        <w:spacing w:line="360" w:lineRule="auto"/>
        <w:rPr>
          <w:color w:val="auto"/>
        </w:rPr>
      </w:pPr>
      <w:r>
        <w:rPr>
          <w:rFonts w:hint="eastAsia"/>
          <w:color w:val="auto"/>
        </w:rPr>
        <w:t>采购方式变更申请所需材料</w:t>
      </w:r>
    </w:p>
    <w:p>
      <w:pPr>
        <w:pStyle w:val="5"/>
        <w:ind w:firstLine="480"/>
        <w:rPr>
          <w:b/>
          <w:color w:val="auto"/>
        </w:rPr>
      </w:pPr>
      <w:bookmarkStart w:id="5" w:name="_Toc478597980"/>
      <w:r>
        <w:rPr>
          <w:rFonts w:hint="eastAsia"/>
          <w:b/>
          <w:color w:val="auto"/>
        </w:rPr>
        <w:t>一、申请采购方式变更几种情形</w:t>
      </w:r>
    </w:p>
    <w:p>
      <w:pPr>
        <w:pStyle w:val="5"/>
        <w:ind w:firstLine="480"/>
        <w:rPr>
          <w:color w:val="auto"/>
        </w:rPr>
      </w:pPr>
      <w:r>
        <w:rPr>
          <w:rFonts w:hint="eastAsia"/>
          <w:color w:val="auto"/>
        </w:rPr>
        <w:t>（一）由公开招标转单一来源方式</w:t>
      </w:r>
    </w:p>
    <w:p>
      <w:pPr>
        <w:pStyle w:val="5"/>
        <w:ind w:firstLine="480"/>
        <w:rPr>
          <w:rFonts w:hint="eastAsia"/>
          <w:color w:val="auto"/>
        </w:rPr>
      </w:pPr>
      <w:r>
        <w:rPr>
          <w:rFonts w:hint="eastAsia"/>
          <w:color w:val="auto"/>
        </w:rPr>
        <w:t>（二）由公开招标转竞争性谈判</w:t>
      </w:r>
      <w:r>
        <w:rPr>
          <w:rFonts w:hint="eastAsia"/>
          <w:color w:val="auto"/>
          <w:lang w:eastAsia="zh-CN"/>
        </w:rPr>
        <w:t>、</w:t>
      </w:r>
      <w:r>
        <w:rPr>
          <w:rFonts w:hint="eastAsia"/>
          <w:color w:val="auto"/>
          <w:lang w:val="en-US" w:eastAsia="zh-CN"/>
        </w:rPr>
        <w:t>竞争性磋商</w:t>
      </w:r>
      <w:r>
        <w:rPr>
          <w:rFonts w:hint="eastAsia"/>
          <w:color w:val="auto"/>
        </w:rPr>
        <w:t>方式</w:t>
      </w:r>
    </w:p>
    <w:p>
      <w:pPr>
        <w:pStyle w:val="5"/>
        <w:ind w:firstLine="480"/>
        <w:rPr>
          <w:color w:val="auto"/>
        </w:rPr>
      </w:pPr>
      <w:r>
        <w:rPr>
          <w:rFonts w:hint="eastAsia"/>
          <w:color w:val="auto"/>
          <w:lang w:eastAsia="zh-CN"/>
        </w:rPr>
        <w:t>（</w:t>
      </w:r>
      <w:r>
        <w:rPr>
          <w:rFonts w:hint="eastAsia"/>
          <w:color w:val="auto"/>
          <w:lang w:val="en-US" w:eastAsia="zh-CN"/>
        </w:rPr>
        <w:t>三</w:t>
      </w:r>
      <w:r>
        <w:rPr>
          <w:rFonts w:hint="eastAsia"/>
          <w:color w:val="auto"/>
          <w:lang w:eastAsia="zh-CN"/>
        </w:rPr>
        <w:t>）</w:t>
      </w:r>
      <w:r>
        <w:rPr>
          <w:rFonts w:hint="eastAsia"/>
          <w:color w:val="auto"/>
        </w:rPr>
        <w:t>直接申请采用</w:t>
      </w:r>
      <w:r>
        <w:rPr>
          <w:rFonts w:hint="eastAsia"/>
          <w:color w:val="auto"/>
          <w:lang w:val="en-US" w:eastAsia="zh-CN"/>
        </w:rPr>
        <w:t>单一来源</w:t>
      </w:r>
      <w:r>
        <w:rPr>
          <w:rFonts w:hint="eastAsia"/>
          <w:color w:val="auto"/>
        </w:rPr>
        <w:t>方式</w:t>
      </w:r>
    </w:p>
    <w:p>
      <w:pPr>
        <w:pStyle w:val="5"/>
        <w:ind w:firstLine="480"/>
        <w:rPr>
          <w:color w:val="auto"/>
        </w:rPr>
      </w:pPr>
      <w:r>
        <w:rPr>
          <w:rFonts w:hint="eastAsia"/>
          <w:color w:val="auto"/>
        </w:rPr>
        <w:t>（</w:t>
      </w:r>
      <w:r>
        <w:rPr>
          <w:rFonts w:hint="eastAsia"/>
          <w:color w:val="auto"/>
          <w:lang w:val="en-US" w:eastAsia="zh-CN"/>
        </w:rPr>
        <w:t>四</w:t>
      </w:r>
      <w:r>
        <w:rPr>
          <w:rFonts w:hint="eastAsia"/>
          <w:color w:val="auto"/>
        </w:rPr>
        <w:t>）直接申请采用</w:t>
      </w:r>
      <w:r>
        <w:rPr>
          <w:rFonts w:hint="eastAsia"/>
          <w:color w:val="auto"/>
          <w:lang w:val="en-US" w:eastAsia="zh-CN"/>
        </w:rPr>
        <w:t>邀请招标、竞争性谈判、竞争性磋商、询价</w:t>
      </w:r>
      <w:r>
        <w:rPr>
          <w:rFonts w:hint="eastAsia"/>
          <w:color w:val="auto"/>
        </w:rPr>
        <w:t>方式</w:t>
      </w:r>
    </w:p>
    <w:p>
      <w:pPr>
        <w:pStyle w:val="5"/>
        <w:ind w:firstLine="480"/>
        <w:rPr>
          <w:b/>
          <w:color w:val="auto"/>
        </w:rPr>
      </w:pPr>
      <w:r>
        <w:rPr>
          <w:rFonts w:hint="eastAsia"/>
          <w:b/>
          <w:color w:val="auto"/>
        </w:rPr>
        <w:t>二、采购人、采购代理机构需提供材料</w:t>
      </w:r>
    </w:p>
    <w:p>
      <w:pPr>
        <w:pStyle w:val="5"/>
        <w:ind w:firstLine="480"/>
        <w:rPr>
          <w:color w:val="auto"/>
        </w:rPr>
      </w:pPr>
      <w:r>
        <w:rPr>
          <w:rFonts w:hint="eastAsia"/>
          <w:color w:val="auto"/>
        </w:rPr>
        <w:t>（一）政府采购方式变更申请表；</w:t>
      </w:r>
    </w:p>
    <w:p>
      <w:pPr>
        <w:pStyle w:val="5"/>
        <w:ind w:firstLine="480"/>
        <w:rPr>
          <w:rFonts w:hint="eastAsia"/>
          <w:color w:val="auto"/>
        </w:rPr>
      </w:pPr>
      <w:r>
        <w:rPr>
          <w:rFonts w:hint="eastAsia"/>
          <w:color w:val="auto"/>
        </w:rPr>
        <w:t>（二）</w:t>
      </w:r>
      <w:r>
        <w:rPr>
          <w:rFonts w:hint="eastAsia"/>
          <w:color w:val="auto"/>
          <w:lang w:val="en-US" w:eastAsia="zh-CN"/>
        </w:rPr>
        <w:t>单一来源采购公示及截图（需签署“公示期间无异议”并盖章）</w:t>
      </w:r>
      <w:r>
        <w:rPr>
          <w:rFonts w:hint="eastAsia"/>
          <w:color w:val="auto"/>
        </w:rPr>
        <w:t>；</w:t>
      </w:r>
    </w:p>
    <w:p>
      <w:pPr>
        <w:pStyle w:val="5"/>
        <w:ind w:firstLine="480"/>
        <w:rPr>
          <w:color w:val="auto"/>
        </w:rPr>
      </w:pPr>
      <w:r>
        <w:rPr>
          <w:rFonts w:hint="eastAsia"/>
          <w:color w:val="auto"/>
          <w:lang w:eastAsia="zh-CN"/>
        </w:rPr>
        <w:t>（</w:t>
      </w:r>
      <w:r>
        <w:rPr>
          <w:rFonts w:hint="eastAsia"/>
          <w:color w:val="auto"/>
          <w:lang w:val="en-US" w:eastAsia="zh-CN"/>
        </w:rPr>
        <w:t>三</w:t>
      </w:r>
      <w:r>
        <w:rPr>
          <w:rFonts w:hint="eastAsia"/>
          <w:color w:val="auto"/>
          <w:lang w:eastAsia="zh-CN"/>
        </w:rPr>
        <w:t>）</w:t>
      </w:r>
      <w:r>
        <w:rPr>
          <w:rFonts w:hint="eastAsia"/>
          <w:color w:val="auto"/>
          <w:lang w:val="en-US" w:eastAsia="zh-CN"/>
        </w:rPr>
        <w:t>招标公告</w:t>
      </w:r>
      <w:r>
        <w:rPr>
          <w:rFonts w:hint="eastAsia"/>
          <w:color w:val="auto"/>
        </w:rPr>
        <w:t>截图；</w:t>
      </w:r>
    </w:p>
    <w:p>
      <w:pPr>
        <w:pStyle w:val="5"/>
        <w:ind w:firstLine="480"/>
        <w:rPr>
          <w:color w:val="auto"/>
        </w:rPr>
      </w:pPr>
      <w:r>
        <w:rPr>
          <w:rFonts w:hint="eastAsia"/>
          <w:color w:val="auto"/>
        </w:rPr>
        <w:t>（四）评标委员会</w:t>
      </w:r>
      <w:r>
        <w:rPr>
          <w:rFonts w:hint="eastAsia"/>
          <w:color w:val="auto"/>
          <w:lang w:val="en-US" w:eastAsia="zh-CN"/>
        </w:rPr>
        <w:t>或者3名以上评审专家出具的</w:t>
      </w:r>
      <w:r>
        <w:rPr>
          <w:rFonts w:hint="eastAsia"/>
          <w:color w:val="auto"/>
        </w:rPr>
        <w:t>对招标文件</w:t>
      </w:r>
      <w:r>
        <w:rPr>
          <w:rFonts w:hint="eastAsia"/>
          <w:color w:val="auto"/>
          <w:lang w:val="en-US" w:eastAsia="zh-CN"/>
        </w:rPr>
        <w:t>无不合理条款的论证意见</w:t>
      </w:r>
      <w:r>
        <w:rPr>
          <w:rFonts w:hint="eastAsia"/>
          <w:color w:val="auto"/>
        </w:rPr>
        <w:t>；</w:t>
      </w:r>
    </w:p>
    <w:p>
      <w:pPr>
        <w:pStyle w:val="5"/>
        <w:ind w:firstLine="480"/>
        <w:rPr>
          <w:color w:val="auto"/>
        </w:rPr>
      </w:pPr>
      <w:r>
        <w:rPr>
          <w:rFonts w:hint="eastAsia"/>
          <w:color w:val="auto"/>
        </w:rPr>
        <w:t>（五）</w:t>
      </w:r>
      <w:r>
        <w:rPr>
          <w:rFonts w:hint="eastAsia"/>
          <w:color w:val="auto"/>
          <w:lang w:val="en-US" w:eastAsia="zh-CN"/>
        </w:rPr>
        <w:t>采购人（代理机构）出具的对招标文件和招标过程无供应商质疑或质疑处理情况的说明</w:t>
      </w:r>
      <w:r>
        <w:rPr>
          <w:rFonts w:hint="eastAsia"/>
          <w:color w:val="auto"/>
        </w:rPr>
        <w:t>；</w:t>
      </w:r>
    </w:p>
    <w:p>
      <w:pPr>
        <w:pStyle w:val="5"/>
        <w:ind w:firstLine="480"/>
        <w:rPr>
          <w:color w:val="auto"/>
        </w:rPr>
      </w:pPr>
      <w:r>
        <w:rPr>
          <w:rFonts w:hint="eastAsia"/>
          <w:color w:val="auto"/>
        </w:rPr>
        <w:t>（六）其他</w:t>
      </w:r>
      <w:r>
        <w:rPr>
          <w:rFonts w:hint="eastAsia"/>
          <w:color w:val="auto"/>
          <w:lang w:val="en-US" w:eastAsia="zh-CN"/>
        </w:rPr>
        <w:t>补充佐证</w:t>
      </w:r>
      <w:r>
        <w:rPr>
          <w:rFonts w:hint="eastAsia"/>
          <w:color w:val="auto"/>
        </w:rPr>
        <w:t>材料。</w:t>
      </w:r>
    </w:p>
    <w:p>
      <w:pPr>
        <w:pStyle w:val="5"/>
        <w:ind w:firstLine="480"/>
        <w:rPr>
          <w:b/>
          <w:color w:val="auto"/>
        </w:rPr>
      </w:pPr>
      <w:r>
        <w:rPr>
          <w:rFonts w:hint="eastAsia"/>
          <w:b/>
          <w:color w:val="auto"/>
        </w:rPr>
        <w:t>三、各情形需提供材料</w:t>
      </w:r>
    </w:p>
    <w:p>
      <w:pPr>
        <w:pStyle w:val="5"/>
        <w:ind w:firstLine="480"/>
        <w:rPr>
          <w:b/>
          <w:color w:val="auto"/>
        </w:rPr>
      </w:pPr>
      <w:r>
        <w:rPr>
          <w:rFonts w:hint="eastAsia"/>
          <w:b/>
          <w:color w:val="auto"/>
        </w:rPr>
        <w:t>（一）由公开招标转单一来源方式</w:t>
      </w:r>
    </w:p>
    <w:p>
      <w:pPr>
        <w:pStyle w:val="5"/>
        <w:ind w:firstLine="480"/>
        <w:rPr>
          <w:color w:val="auto"/>
        </w:rPr>
      </w:pPr>
      <w:r>
        <w:rPr>
          <w:rFonts w:hint="eastAsia"/>
          <w:color w:val="auto"/>
        </w:rPr>
        <w:t>采购人、采购代理机构需提供材料：（一）政府采购方式变更申请表；（二）</w:t>
      </w:r>
      <w:r>
        <w:rPr>
          <w:rFonts w:hint="eastAsia"/>
          <w:color w:val="auto"/>
          <w:lang w:val="en-US" w:eastAsia="zh-CN"/>
        </w:rPr>
        <w:t>单一来源采购公示及截图（需签署“公示期间无异议”并盖章）</w:t>
      </w:r>
      <w:r>
        <w:rPr>
          <w:rFonts w:hint="eastAsia"/>
          <w:color w:val="auto"/>
        </w:rPr>
        <w:t>；（三）</w:t>
      </w:r>
      <w:r>
        <w:rPr>
          <w:rFonts w:hint="eastAsia"/>
          <w:color w:val="auto"/>
          <w:lang w:val="en-US" w:eastAsia="zh-CN"/>
        </w:rPr>
        <w:t>招标公告</w:t>
      </w:r>
      <w:r>
        <w:rPr>
          <w:rFonts w:hint="eastAsia"/>
          <w:color w:val="auto"/>
        </w:rPr>
        <w:t>截图</w:t>
      </w:r>
      <w:r>
        <w:rPr>
          <w:rFonts w:hint="eastAsia"/>
          <w:color w:val="auto"/>
          <w:lang w:eastAsia="zh-CN"/>
        </w:rPr>
        <w:t>；（</w:t>
      </w:r>
      <w:r>
        <w:rPr>
          <w:rFonts w:hint="eastAsia"/>
          <w:color w:val="auto"/>
          <w:lang w:val="en-US" w:eastAsia="zh-CN"/>
        </w:rPr>
        <w:t>四</w:t>
      </w:r>
      <w:r>
        <w:rPr>
          <w:rFonts w:hint="eastAsia"/>
          <w:color w:val="auto"/>
          <w:lang w:eastAsia="zh-CN"/>
        </w:rPr>
        <w:t>）</w:t>
      </w:r>
      <w:r>
        <w:rPr>
          <w:rFonts w:hint="eastAsia"/>
          <w:color w:val="auto"/>
        </w:rPr>
        <w:t>评标委员会</w:t>
      </w:r>
      <w:r>
        <w:rPr>
          <w:rFonts w:hint="eastAsia"/>
          <w:color w:val="auto"/>
          <w:lang w:val="en-US" w:eastAsia="zh-CN"/>
        </w:rPr>
        <w:t>或者3名以上评审专家出具的</w:t>
      </w:r>
      <w:r>
        <w:rPr>
          <w:rFonts w:hint="eastAsia"/>
          <w:color w:val="auto"/>
        </w:rPr>
        <w:t>对招标文件</w:t>
      </w:r>
      <w:r>
        <w:rPr>
          <w:rFonts w:hint="eastAsia"/>
          <w:color w:val="auto"/>
          <w:lang w:val="en-US" w:eastAsia="zh-CN"/>
        </w:rPr>
        <w:t>无不合理条款的论证意见</w:t>
      </w:r>
      <w:r>
        <w:rPr>
          <w:rFonts w:hint="eastAsia"/>
          <w:color w:val="auto"/>
        </w:rPr>
        <w:t>；</w:t>
      </w:r>
      <w:r>
        <w:rPr>
          <w:rFonts w:hint="eastAsia"/>
          <w:color w:val="auto"/>
        </w:rPr>
        <w:t>（五）</w:t>
      </w:r>
      <w:r>
        <w:rPr>
          <w:rFonts w:hint="eastAsia"/>
          <w:color w:val="auto"/>
          <w:lang w:val="en-US" w:eastAsia="zh-CN"/>
        </w:rPr>
        <w:t>采购人（代理机构）出具的对招标文件和招标过程无供应商质疑或质疑处理情况的说明</w:t>
      </w:r>
      <w:r>
        <w:rPr>
          <w:rFonts w:hint="eastAsia"/>
          <w:color w:val="auto"/>
        </w:rPr>
        <w:t>；</w:t>
      </w:r>
      <w:r>
        <w:rPr>
          <w:rFonts w:hint="eastAsia"/>
          <w:color w:val="auto"/>
        </w:rPr>
        <w:t>（六）</w:t>
      </w:r>
      <w:r>
        <w:rPr>
          <w:rFonts w:hint="eastAsia"/>
          <w:color w:val="auto"/>
        </w:rPr>
        <w:t>其他</w:t>
      </w:r>
      <w:r>
        <w:rPr>
          <w:rFonts w:hint="eastAsia"/>
          <w:color w:val="auto"/>
          <w:lang w:val="en-US" w:eastAsia="zh-CN"/>
        </w:rPr>
        <w:t>补充佐证</w:t>
      </w:r>
      <w:r>
        <w:rPr>
          <w:rFonts w:hint="eastAsia"/>
          <w:color w:val="auto"/>
        </w:rPr>
        <w:t>材料。</w:t>
      </w:r>
    </w:p>
    <w:p>
      <w:pPr>
        <w:pStyle w:val="5"/>
        <w:ind w:firstLine="480"/>
        <w:rPr>
          <w:color w:val="auto"/>
        </w:rPr>
      </w:pPr>
      <w:r>
        <w:rPr>
          <w:rFonts w:hint="eastAsia"/>
          <w:color w:val="auto"/>
        </w:rPr>
        <w:t>最终，在《政府采购方式变更申请表》最后加附件，由</w:t>
      </w:r>
      <w:r>
        <w:rPr>
          <w:rFonts w:hint="eastAsia"/>
          <w:color w:val="auto"/>
          <w:lang w:val="en-US" w:eastAsia="zh-CN"/>
        </w:rPr>
        <w:t>采购人或</w:t>
      </w:r>
      <w:r>
        <w:rPr>
          <w:rFonts w:hint="eastAsia"/>
          <w:color w:val="auto"/>
        </w:rPr>
        <w:t>采购代理机构将以上所填表（一）、</w:t>
      </w:r>
      <w:r>
        <w:rPr>
          <w:rFonts w:hint="eastAsia"/>
          <w:color w:val="auto"/>
          <w:lang w:eastAsia="zh-CN"/>
        </w:rPr>
        <w:t>（</w:t>
      </w:r>
      <w:r>
        <w:rPr>
          <w:rFonts w:hint="eastAsia"/>
          <w:color w:val="auto"/>
          <w:lang w:val="en-US" w:eastAsia="zh-CN"/>
        </w:rPr>
        <w:t>二</w:t>
      </w:r>
      <w:r>
        <w:rPr>
          <w:rFonts w:hint="eastAsia"/>
          <w:color w:val="auto"/>
          <w:lang w:eastAsia="zh-CN"/>
        </w:rPr>
        <w:t>）</w:t>
      </w:r>
      <w:r>
        <w:rPr>
          <w:rFonts w:hint="eastAsia"/>
          <w:color w:val="auto"/>
        </w:rPr>
        <w:t>（三）、（</w:t>
      </w:r>
      <w:r>
        <w:rPr>
          <w:rFonts w:hint="eastAsia"/>
          <w:color w:val="auto"/>
          <w:lang w:val="en-US" w:eastAsia="zh-CN"/>
        </w:rPr>
        <w:t>四</w:t>
      </w:r>
      <w:r>
        <w:rPr>
          <w:rFonts w:hint="eastAsia"/>
          <w:color w:val="auto"/>
        </w:rPr>
        <w:t>）、（</w:t>
      </w:r>
      <w:r>
        <w:rPr>
          <w:rFonts w:hint="eastAsia"/>
          <w:color w:val="auto"/>
          <w:lang w:val="en-US" w:eastAsia="zh-CN"/>
        </w:rPr>
        <w:t>五</w:t>
      </w:r>
      <w:r>
        <w:rPr>
          <w:rFonts w:hint="eastAsia"/>
          <w:color w:val="auto"/>
        </w:rPr>
        <w:t>）</w:t>
      </w:r>
      <w:r>
        <w:rPr>
          <w:rFonts w:hint="eastAsia"/>
          <w:color w:val="auto"/>
          <w:lang w:eastAsia="zh-CN"/>
        </w:rPr>
        <w:t>、（</w:t>
      </w:r>
      <w:r>
        <w:rPr>
          <w:rFonts w:hint="eastAsia"/>
          <w:color w:val="auto"/>
          <w:lang w:val="en-US" w:eastAsia="zh-CN"/>
        </w:rPr>
        <w:t>六</w:t>
      </w:r>
      <w:r>
        <w:rPr>
          <w:rFonts w:hint="eastAsia"/>
          <w:color w:val="auto"/>
          <w:lang w:eastAsia="zh-CN"/>
        </w:rPr>
        <w:t>）</w:t>
      </w:r>
      <w:r>
        <w:rPr>
          <w:rFonts w:hint="eastAsia"/>
          <w:color w:val="auto"/>
        </w:rPr>
        <w:t>打印加盖单位公章后</w:t>
      </w:r>
      <w:r>
        <w:rPr>
          <w:rFonts w:hint="eastAsia"/>
          <w:color w:val="auto"/>
          <w:lang w:eastAsia="zh-CN"/>
        </w:rPr>
        <w:t>，</w:t>
      </w:r>
      <w:r>
        <w:rPr>
          <w:rFonts w:hint="eastAsia"/>
          <w:color w:val="auto"/>
        </w:rPr>
        <w:t>以扫描件或拍照上传给</w:t>
      </w:r>
      <w:r>
        <w:rPr>
          <w:rFonts w:hint="eastAsia"/>
          <w:color w:val="auto"/>
          <w:lang w:val="en-US" w:eastAsia="zh-CN"/>
        </w:rPr>
        <w:t>同级财政部门</w:t>
      </w:r>
      <w:r>
        <w:rPr>
          <w:rFonts w:hint="eastAsia"/>
          <w:color w:val="auto"/>
        </w:rPr>
        <w:t>采购处审核。</w:t>
      </w:r>
    </w:p>
    <w:p>
      <w:pPr>
        <w:pStyle w:val="5"/>
        <w:ind w:firstLine="480"/>
        <w:rPr>
          <w:rFonts w:hint="eastAsia"/>
          <w:color w:val="auto"/>
        </w:rPr>
      </w:pPr>
      <w:r>
        <w:rPr>
          <w:rFonts w:hint="eastAsia"/>
          <w:b/>
          <w:color w:val="auto"/>
        </w:rPr>
        <w:t>（二）由公开招标转</w:t>
      </w:r>
      <w:r>
        <w:rPr>
          <w:rFonts w:hint="eastAsia"/>
          <w:color w:val="auto"/>
        </w:rPr>
        <w:t>竞争性谈判</w:t>
      </w:r>
      <w:r>
        <w:rPr>
          <w:rFonts w:hint="eastAsia"/>
          <w:color w:val="auto"/>
          <w:lang w:eastAsia="zh-CN"/>
        </w:rPr>
        <w:t>、</w:t>
      </w:r>
      <w:r>
        <w:rPr>
          <w:rFonts w:hint="eastAsia"/>
          <w:color w:val="auto"/>
          <w:lang w:val="en-US" w:eastAsia="zh-CN"/>
        </w:rPr>
        <w:t>竞争性磋商</w:t>
      </w:r>
      <w:r>
        <w:rPr>
          <w:rFonts w:hint="eastAsia"/>
          <w:color w:val="auto"/>
        </w:rPr>
        <w:t>方式</w:t>
      </w:r>
    </w:p>
    <w:p>
      <w:pPr>
        <w:pStyle w:val="5"/>
        <w:ind w:firstLine="480"/>
        <w:rPr>
          <w:color w:val="auto"/>
        </w:rPr>
      </w:pPr>
      <w:r>
        <w:rPr>
          <w:rFonts w:hint="eastAsia"/>
          <w:color w:val="auto"/>
        </w:rPr>
        <w:t>采购人、采购代理机构需提供材料：（一）政府采购方式变更申请表；（三）</w:t>
      </w:r>
      <w:r>
        <w:rPr>
          <w:rFonts w:hint="eastAsia"/>
          <w:color w:val="auto"/>
          <w:lang w:val="en-US" w:eastAsia="zh-CN"/>
        </w:rPr>
        <w:t>招标公告</w:t>
      </w:r>
      <w:r>
        <w:rPr>
          <w:rFonts w:hint="eastAsia"/>
          <w:color w:val="auto"/>
        </w:rPr>
        <w:t>截图</w:t>
      </w:r>
      <w:r>
        <w:rPr>
          <w:rFonts w:hint="eastAsia"/>
          <w:color w:val="auto"/>
          <w:lang w:eastAsia="zh-CN"/>
        </w:rPr>
        <w:t>；（</w:t>
      </w:r>
      <w:r>
        <w:rPr>
          <w:rFonts w:hint="eastAsia"/>
          <w:color w:val="auto"/>
          <w:lang w:val="en-US" w:eastAsia="zh-CN"/>
        </w:rPr>
        <w:t>四</w:t>
      </w:r>
      <w:r>
        <w:rPr>
          <w:rFonts w:hint="eastAsia"/>
          <w:color w:val="auto"/>
          <w:lang w:eastAsia="zh-CN"/>
        </w:rPr>
        <w:t>）</w:t>
      </w:r>
      <w:r>
        <w:rPr>
          <w:rFonts w:hint="eastAsia"/>
          <w:color w:val="auto"/>
        </w:rPr>
        <w:t>评标委员会</w:t>
      </w:r>
      <w:r>
        <w:rPr>
          <w:rFonts w:hint="eastAsia"/>
          <w:color w:val="auto"/>
          <w:lang w:val="en-US" w:eastAsia="zh-CN"/>
        </w:rPr>
        <w:t>或者3名以上评审专家出具的</w:t>
      </w:r>
      <w:r>
        <w:rPr>
          <w:rFonts w:hint="eastAsia"/>
          <w:color w:val="auto"/>
        </w:rPr>
        <w:t>对招标文件</w:t>
      </w:r>
      <w:r>
        <w:rPr>
          <w:rFonts w:hint="eastAsia"/>
          <w:color w:val="auto"/>
          <w:lang w:val="en-US" w:eastAsia="zh-CN"/>
        </w:rPr>
        <w:t>无不合理条款的论证意见</w:t>
      </w:r>
      <w:r>
        <w:rPr>
          <w:rFonts w:hint="eastAsia"/>
          <w:color w:val="auto"/>
        </w:rPr>
        <w:t>；</w:t>
      </w:r>
      <w:r>
        <w:rPr>
          <w:rFonts w:hint="eastAsia"/>
          <w:color w:val="auto"/>
        </w:rPr>
        <w:t>（五）</w:t>
      </w:r>
      <w:r>
        <w:rPr>
          <w:rFonts w:hint="eastAsia"/>
          <w:color w:val="auto"/>
          <w:lang w:val="en-US" w:eastAsia="zh-CN"/>
        </w:rPr>
        <w:t>采购人（代理机构）出具的对招标文件和招标过程无供应商质疑或质疑处理情况的说明</w:t>
      </w:r>
      <w:r>
        <w:rPr>
          <w:rFonts w:hint="eastAsia"/>
          <w:color w:val="auto"/>
        </w:rPr>
        <w:t>；</w:t>
      </w:r>
      <w:r>
        <w:rPr>
          <w:rFonts w:hint="eastAsia"/>
          <w:color w:val="auto"/>
        </w:rPr>
        <w:t>（六）</w:t>
      </w:r>
      <w:r>
        <w:rPr>
          <w:rFonts w:hint="eastAsia"/>
          <w:color w:val="auto"/>
        </w:rPr>
        <w:t>其他</w:t>
      </w:r>
      <w:r>
        <w:rPr>
          <w:rFonts w:hint="eastAsia"/>
          <w:color w:val="auto"/>
          <w:lang w:val="en-US" w:eastAsia="zh-CN"/>
        </w:rPr>
        <w:t>补充佐证</w:t>
      </w:r>
      <w:r>
        <w:rPr>
          <w:rFonts w:hint="eastAsia"/>
          <w:color w:val="auto"/>
        </w:rPr>
        <w:t>材料。</w:t>
      </w:r>
    </w:p>
    <w:p>
      <w:pPr>
        <w:pStyle w:val="5"/>
        <w:ind w:firstLine="480"/>
        <w:rPr>
          <w:color w:val="auto"/>
        </w:rPr>
      </w:pPr>
      <w:r>
        <w:rPr>
          <w:rFonts w:hint="eastAsia"/>
          <w:color w:val="auto"/>
        </w:rPr>
        <w:t>最终，在《政府采购方式变更申请表》最后加附件，由</w:t>
      </w:r>
      <w:r>
        <w:rPr>
          <w:rFonts w:hint="eastAsia"/>
          <w:color w:val="auto"/>
          <w:lang w:val="en-US" w:eastAsia="zh-CN"/>
        </w:rPr>
        <w:t>采购人或</w:t>
      </w:r>
      <w:r>
        <w:rPr>
          <w:rFonts w:hint="eastAsia"/>
          <w:color w:val="auto"/>
        </w:rPr>
        <w:t>采购代理机构将以上所填表（一）、（三）、</w:t>
      </w:r>
      <w:r>
        <w:rPr>
          <w:rFonts w:hint="eastAsia"/>
          <w:color w:val="auto"/>
          <w:lang w:eastAsia="zh-CN"/>
        </w:rPr>
        <w:t>（</w:t>
      </w:r>
      <w:r>
        <w:rPr>
          <w:rFonts w:hint="eastAsia"/>
          <w:color w:val="auto"/>
          <w:lang w:val="en-US" w:eastAsia="zh-CN"/>
        </w:rPr>
        <w:t>四</w:t>
      </w:r>
      <w:r>
        <w:rPr>
          <w:rFonts w:hint="eastAsia"/>
          <w:color w:val="auto"/>
          <w:lang w:eastAsia="zh-CN"/>
        </w:rPr>
        <w:t>）、</w:t>
      </w:r>
      <w:r>
        <w:rPr>
          <w:rFonts w:hint="eastAsia"/>
          <w:color w:val="auto"/>
        </w:rPr>
        <w:t>（五）</w:t>
      </w:r>
      <w:r>
        <w:rPr>
          <w:rFonts w:hint="eastAsia"/>
          <w:color w:val="auto"/>
          <w:lang w:eastAsia="zh-CN"/>
        </w:rPr>
        <w:t>、（</w:t>
      </w:r>
      <w:r>
        <w:rPr>
          <w:rFonts w:hint="eastAsia"/>
          <w:color w:val="auto"/>
          <w:lang w:val="en-US" w:eastAsia="zh-CN"/>
        </w:rPr>
        <w:t>六</w:t>
      </w:r>
      <w:r>
        <w:rPr>
          <w:rFonts w:hint="eastAsia"/>
          <w:color w:val="auto"/>
          <w:lang w:eastAsia="zh-CN"/>
        </w:rPr>
        <w:t>）</w:t>
      </w:r>
      <w:r>
        <w:rPr>
          <w:rFonts w:hint="eastAsia"/>
          <w:color w:val="auto"/>
        </w:rPr>
        <w:t>打印并加盖单位公章后</w:t>
      </w:r>
      <w:r>
        <w:rPr>
          <w:rFonts w:hint="eastAsia"/>
          <w:color w:val="auto"/>
          <w:lang w:eastAsia="zh-CN"/>
        </w:rPr>
        <w:t>，</w:t>
      </w:r>
      <w:r>
        <w:rPr>
          <w:rFonts w:hint="eastAsia"/>
          <w:color w:val="auto"/>
        </w:rPr>
        <w:t>以扫描件或拍照上传</w:t>
      </w:r>
      <w:r>
        <w:rPr>
          <w:rFonts w:hint="eastAsia"/>
          <w:color w:val="auto"/>
          <w:lang w:val="en-US" w:eastAsia="zh-CN"/>
        </w:rPr>
        <w:t>给</w:t>
      </w:r>
      <w:r>
        <w:rPr>
          <w:rFonts w:hint="eastAsia"/>
          <w:color w:val="auto"/>
          <w:lang w:val="en-US" w:eastAsia="zh-CN"/>
        </w:rPr>
        <w:t>同级财政部门</w:t>
      </w:r>
      <w:r>
        <w:rPr>
          <w:rFonts w:hint="eastAsia"/>
          <w:color w:val="auto"/>
        </w:rPr>
        <w:t>采购处审核。</w:t>
      </w:r>
    </w:p>
    <w:p>
      <w:pPr>
        <w:pStyle w:val="5"/>
        <w:ind w:firstLine="480"/>
        <w:rPr>
          <w:b/>
          <w:color w:val="auto"/>
        </w:rPr>
      </w:pPr>
      <w:r>
        <w:rPr>
          <w:rFonts w:hint="eastAsia"/>
          <w:b/>
          <w:color w:val="auto"/>
        </w:rPr>
        <w:t>（三）直接申请采用单一来源方式</w:t>
      </w:r>
    </w:p>
    <w:p>
      <w:pPr>
        <w:pStyle w:val="5"/>
        <w:ind w:firstLine="480"/>
        <w:rPr>
          <w:rFonts w:hint="eastAsia"/>
          <w:color w:val="auto"/>
          <w:lang w:eastAsia="zh-CN"/>
        </w:rPr>
      </w:pPr>
      <w:r>
        <w:rPr>
          <w:rFonts w:hint="eastAsia"/>
          <w:color w:val="auto"/>
        </w:rPr>
        <w:t>采购人、采购代理机构需提供材料：（一）政府采购方式变更申请表；（二）</w:t>
      </w:r>
      <w:r>
        <w:rPr>
          <w:rFonts w:hint="eastAsia"/>
          <w:color w:val="auto"/>
          <w:lang w:val="en-US" w:eastAsia="zh-CN"/>
        </w:rPr>
        <w:t>单一来源采购公示及截图（包括专业人员论证意见）</w:t>
      </w:r>
      <w:r>
        <w:rPr>
          <w:rFonts w:hint="eastAsia"/>
          <w:color w:val="auto"/>
        </w:rPr>
        <w:t>；（</w:t>
      </w:r>
      <w:r>
        <w:rPr>
          <w:rFonts w:hint="eastAsia"/>
          <w:color w:val="auto"/>
          <w:lang w:val="en-US" w:eastAsia="zh-CN"/>
        </w:rPr>
        <w:t>六）</w:t>
      </w:r>
      <w:r>
        <w:rPr>
          <w:rFonts w:hint="eastAsia"/>
          <w:color w:val="auto"/>
        </w:rPr>
        <w:t>其他</w:t>
      </w:r>
      <w:r>
        <w:rPr>
          <w:rFonts w:hint="eastAsia"/>
          <w:color w:val="auto"/>
          <w:lang w:val="en-US" w:eastAsia="zh-CN"/>
        </w:rPr>
        <w:t>补充佐证</w:t>
      </w:r>
      <w:r>
        <w:rPr>
          <w:rFonts w:hint="eastAsia"/>
          <w:color w:val="auto"/>
        </w:rPr>
        <w:t>材料</w:t>
      </w:r>
      <w:r>
        <w:rPr>
          <w:rFonts w:hint="eastAsia"/>
          <w:color w:val="auto"/>
          <w:lang w:eastAsia="zh-CN"/>
        </w:rPr>
        <w:t>。</w:t>
      </w:r>
    </w:p>
    <w:p>
      <w:pPr>
        <w:pStyle w:val="5"/>
        <w:ind w:firstLine="480"/>
        <w:rPr>
          <w:color w:val="auto"/>
        </w:rPr>
      </w:pPr>
      <w:r>
        <w:rPr>
          <w:rFonts w:hint="eastAsia"/>
          <w:color w:val="auto"/>
        </w:rPr>
        <w:t>最终，在《政府采购方式变更申请表》最后加附件，由</w:t>
      </w:r>
      <w:r>
        <w:rPr>
          <w:rFonts w:hint="eastAsia"/>
          <w:color w:val="auto"/>
          <w:lang w:val="en-US" w:eastAsia="zh-CN"/>
        </w:rPr>
        <w:t>采购人或</w:t>
      </w:r>
      <w:r>
        <w:rPr>
          <w:rFonts w:hint="eastAsia"/>
          <w:color w:val="auto"/>
        </w:rPr>
        <w:t>采购代理机构将以上所填表（一）、（</w:t>
      </w:r>
      <w:r>
        <w:rPr>
          <w:rFonts w:hint="eastAsia"/>
          <w:color w:val="auto"/>
          <w:lang w:val="en-US" w:eastAsia="zh-CN"/>
        </w:rPr>
        <w:t>二</w:t>
      </w:r>
      <w:r>
        <w:rPr>
          <w:rFonts w:hint="eastAsia"/>
          <w:color w:val="auto"/>
        </w:rPr>
        <w:t>）、（</w:t>
      </w:r>
      <w:r>
        <w:rPr>
          <w:rFonts w:hint="eastAsia"/>
          <w:color w:val="auto"/>
          <w:lang w:val="en-US" w:eastAsia="zh-CN"/>
        </w:rPr>
        <w:t>六</w:t>
      </w:r>
      <w:r>
        <w:rPr>
          <w:rFonts w:hint="eastAsia"/>
          <w:color w:val="auto"/>
        </w:rPr>
        <w:t>）打印并加盖单位公章后</w:t>
      </w:r>
      <w:r>
        <w:rPr>
          <w:rFonts w:hint="eastAsia"/>
          <w:color w:val="auto"/>
          <w:lang w:eastAsia="zh-CN"/>
        </w:rPr>
        <w:t>，</w:t>
      </w:r>
      <w:r>
        <w:rPr>
          <w:rFonts w:hint="eastAsia"/>
          <w:color w:val="auto"/>
        </w:rPr>
        <w:t>以扫描件或拍照上传</w:t>
      </w:r>
      <w:r>
        <w:rPr>
          <w:rFonts w:hint="eastAsia"/>
          <w:color w:val="auto"/>
          <w:lang w:val="en-US" w:eastAsia="zh-CN"/>
        </w:rPr>
        <w:t>给同级财政部门</w:t>
      </w:r>
      <w:r>
        <w:rPr>
          <w:rFonts w:hint="eastAsia"/>
          <w:color w:val="auto"/>
        </w:rPr>
        <w:t>采购处审核。</w:t>
      </w:r>
    </w:p>
    <w:p>
      <w:pPr>
        <w:pStyle w:val="5"/>
        <w:ind w:firstLine="480"/>
        <w:rPr>
          <w:color w:val="auto"/>
        </w:rPr>
      </w:pPr>
      <w:r>
        <w:rPr>
          <w:rFonts w:hint="eastAsia"/>
          <w:b/>
          <w:color w:val="auto"/>
        </w:rPr>
        <w:t>（四）</w:t>
      </w:r>
      <w:r>
        <w:rPr>
          <w:rFonts w:hint="eastAsia"/>
          <w:color w:val="auto"/>
        </w:rPr>
        <w:t>直接申请采用</w:t>
      </w:r>
      <w:r>
        <w:rPr>
          <w:rFonts w:hint="eastAsia"/>
          <w:color w:val="auto"/>
          <w:lang w:val="en-US" w:eastAsia="zh-CN"/>
        </w:rPr>
        <w:t>邀请招标、竞争性谈判、竞争性磋商、询价</w:t>
      </w:r>
      <w:r>
        <w:rPr>
          <w:rFonts w:hint="eastAsia"/>
          <w:color w:val="auto"/>
        </w:rPr>
        <w:t>方式</w:t>
      </w:r>
    </w:p>
    <w:p>
      <w:pPr>
        <w:pStyle w:val="5"/>
        <w:ind w:firstLine="480"/>
        <w:rPr>
          <w:rFonts w:hint="eastAsia"/>
          <w:color w:val="auto"/>
          <w:lang w:eastAsia="zh-CN"/>
        </w:rPr>
      </w:pPr>
      <w:r>
        <w:rPr>
          <w:rFonts w:hint="eastAsia"/>
          <w:color w:val="auto"/>
        </w:rPr>
        <w:t>采购人、采购代理机构需提供材料：（一）政府采购方式变更申请表；（二）</w:t>
      </w:r>
      <w:r>
        <w:rPr>
          <w:rFonts w:hint="eastAsia"/>
          <w:color w:val="auto"/>
        </w:rPr>
        <w:t>其他</w:t>
      </w:r>
      <w:r>
        <w:rPr>
          <w:rFonts w:hint="eastAsia"/>
          <w:color w:val="auto"/>
          <w:lang w:val="en-US" w:eastAsia="zh-CN"/>
        </w:rPr>
        <w:t>补充佐证</w:t>
      </w:r>
      <w:r>
        <w:rPr>
          <w:rFonts w:hint="eastAsia"/>
          <w:color w:val="auto"/>
        </w:rPr>
        <w:t>材料</w:t>
      </w:r>
      <w:r>
        <w:rPr>
          <w:rFonts w:hint="eastAsia"/>
          <w:color w:val="auto"/>
          <w:lang w:eastAsia="zh-CN"/>
        </w:rPr>
        <w:t>。</w:t>
      </w:r>
    </w:p>
    <w:p>
      <w:pPr>
        <w:pStyle w:val="5"/>
        <w:ind w:firstLine="480"/>
        <w:rPr>
          <w:color w:val="auto"/>
        </w:rPr>
      </w:pPr>
      <w:r>
        <w:rPr>
          <w:rFonts w:hint="eastAsia"/>
          <w:color w:val="auto"/>
        </w:rPr>
        <w:t>最终，《政府采购方式变更申请表》最后加附件，由</w:t>
      </w:r>
      <w:r>
        <w:rPr>
          <w:rFonts w:hint="eastAsia"/>
          <w:color w:val="auto"/>
          <w:lang w:val="en-US" w:eastAsia="zh-CN"/>
        </w:rPr>
        <w:t>采购人或</w:t>
      </w:r>
      <w:r>
        <w:rPr>
          <w:rFonts w:hint="eastAsia"/>
          <w:color w:val="auto"/>
        </w:rPr>
        <w:t>采购代理机构将以上所填表（一）、（</w:t>
      </w:r>
      <w:r>
        <w:rPr>
          <w:rFonts w:hint="eastAsia"/>
          <w:color w:val="auto"/>
          <w:lang w:val="en-US" w:eastAsia="zh-CN"/>
        </w:rPr>
        <w:t>二</w:t>
      </w:r>
      <w:r>
        <w:rPr>
          <w:rFonts w:hint="eastAsia"/>
          <w:color w:val="auto"/>
        </w:rPr>
        <w:t>）并加盖单位公章后</w:t>
      </w:r>
      <w:r>
        <w:rPr>
          <w:rFonts w:hint="eastAsia"/>
          <w:color w:val="auto"/>
          <w:lang w:eastAsia="zh-CN"/>
        </w:rPr>
        <w:t>，</w:t>
      </w:r>
      <w:r>
        <w:rPr>
          <w:rFonts w:hint="eastAsia"/>
          <w:color w:val="auto"/>
        </w:rPr>
        <w:t>以扫描件或拍照上传</w:t>
      </w:r>
      <w:r>
        <w:rPr>
          <w:rFonts w:hint="eastAsia"/>
          <w:color w:val="auto"/>
          <w:lang w:val="en-US" w:eastAsia="zh-CN"/>
        </w:rPr>
        <w:t>给同级财政部门</w:t>
      </w:r>
      <w:r>
        <w:rPr>
          <w:rFonts w:hint="eastAsia"/>
          <w:color w:val="auto"/>
        </w:rPr>
        <w:t>采购处审核。</w:t>
      </w:r>
    </w:p>
    <w:p>
      <w:pPr>
        <w:pStyle w:val="3"/>
        <w:numPr>
          <w:ilvl w:val="1"/>
          <w:numId w:val="2"/>
        </w:numPr>
        <w:spacing w:line="360" w:lineRule="auto"/>
        <w:rPr>
          <w:color w:val="auto"/>
        </w:rPr>
      </w:pPr>
      <w:r>
        <w:rPr>
          <w:rFonts w:hint="eastAsia"/>
          <w:color w:val="auto"/>
        </w:rPr>
        <w:t>采购方式变更</w:t>
      </w:r>
      <w:bookmarkEnd w:id="5"/>
      <w:r>
        <w:rPr>
          <w:rFonts w:hint="eastAsia"/>
          <w:color w:val="auto"/>
        </w:rPr>
        <w:t>审批</w:t>
      </w:r>
    </w:p>
    <w:p>
      <w:pPr>
        <w:pStyle w:val="4"/>
        <w:numPr>
          <w:ilvl w:val="2"/>
          <w:numId w:val="2"/>
        </w:numPr>
        <w:tabs>
          <w:tab w:val="clear" w:pos="0"/>
          <w:tab w:val="clear" w:pos="1425"/>
        </w:tabs>
        <w:rPr>
          <w:color w:val="auto"/>
        </w:rPr>
      </w:pPr>
      <w:r>
        <w:rPr>
          <w:rFonts w:hint="eastAsia"/>
          <w:color w:val="auto"/>
        </w:rPr>
        <w:t>区</w:t>
      </w:r>
      <w:r>
        <w:rPr>
          <w:rFonts w:hint="eastAsia"/>
          <w:color w:val="auto"/>
        </w:rPr>
        <w:t>采购方式变更审批流程图</w:t>
      </w:r>
    </w:p>
    <w:p>
      <w:pPr>
        <w:pStyle w:val="5"/>
        <w:jc w:val="center"/>
        <w:rPr>
          <w:color w:val="auto"/>
        </w:rPr>
      </w:pPr>
      <w:r>
        <w:rPr>
          <w:color w:val="auto"/>
        </w:rPr>
        <w:drawing>
          <wp:inline distT="0" distB="0" distL="0" distR="0">
            <wp:extent cx="3567430" cy="26460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3577562" cy="2653356"/>
                    </a:xfrm>
                    <a:prstGeom prst="rect">
                      <a:avLst/>
                    </a:prstGeom>
                  </pic:spPr>
                </pic:pic>
              </a:graphicData>
            </a:graphic>
          </wp:inline>
        </w:drawing>
      </w:r>
    </w:p>
    <w:p>
      <w:pPr>
        <w:pStyle w:val="4"/>
        <w:numPr>
          <w:ilvl w:val="2"/>
          <w:numId w:val="2"/>
        </w:numPr>
        <w:tabs>
          <w:tab w:val="clear" w:pos="0"/>
          <w:tab w:val="clear" w:pos="1425"/>
        </w:tabs>
        <w:rPr>
          <w:color w:val="auto"/>
        </w:rPr>
      </w:pPr>
      <w:r>
        <w:rPr>
          <w:rFonts w:hint="eastAsia"/>
          <w:color w:val="auto"/>
        </w:rPr>
        <w:t>县（或县级市）</w:t>
      </w:r>
      <w:r>
        <w:rPr>
          <w:rFonts w:hint="eastAsia"/>
          <w:color w:val="auto"/>
        </w:rPr>
        <w:t>采购方式变更审批流程图</w:t>
      </w:r>
    </w:p>
    <w:p>
      <w:pPr>
        <w:pStyle w:val="5"/>
        <w:rPr>
          <w:color w:val="auto"/>
        </w:rPr>
      </w:pPr>
    </w:p>
    <w:p>
      <w:pPr>
        <w:pStyle w:val="5"/>
        <w:jc w:val="center"/>
        <w:rPr>
          <w:color w:val="auto"/>
        </w:rPr>
      </w:pPr>
      <w:r>
        <w:rPr>
          <w:color w:val="auto"/>
        </w:rPr>
        <w:drawing>
          <wp:inline distT="0" distB="0" distL="0" distR="0">
            <wp:extent cx="3157220" cy="3696970"/>
            <wp:effectExtent l="0" t="0" r="5080"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3157220" cy="3696970"/>
                    </a:xfrm>
                    <a:prstGeom prst="rect">
                      <a:avLst/>
                    </a:prstGeom>
                  </pic:spPr>
                </pic:pic>
              </a:graphicData>
            </a:graphic>
          </wp:inline>
        </w:drawing>
      </w:r>
    </w:p>
    <w:p>
      <w:pPr>
        <w:pStyle w:val="4"/>
        <w:numPr>
          <w:ilvl w:val="2"/>
          <w:numId w:val="2"/>
        </w:numPr>
        <w:tabs>
          <w:tab w:val="clear" w:pos="0"/>
          <w:tab w:val="clear" w:pos="1425"/>
        </w:tabs>
        <w:rPr>
          <w:color w:val="auto"/>
        </w:rPr>
      </w:pPr>
      <w:r>
        <w:rPr>
          <w:rFonts w:hint="eastAsia"/>
          <w:color w:val="auto"/>
        </w:rPr>
        <w:t>采购方式变更审批操作</w:t>
      </w:r>
    </w:p>
    <w:p>
      <w:pPr>
        <w:pStyle w:val="6"/>
        <w:numPr>
          <w:ilvl w:val="0"/>
          <w:numId w:val="0"/>
        </w:numPr>
        <w:rPr>
          <w:color w:val="auto"/>
        </w:rPr>
      </w:pPr>
      <w:bookmarkStart w:id="6" w:name="_Toc478597981"/>
      <w:r>
        <w:rPr>
          <w:rFonts w:hint="eastAsia"/>
          <w:color w:val="auto"/>
        </w:rPr>
        <w:t>3.2.2.1专管员初审</w:t>
      </w:r>
    </w:p>
    <w:p>
      <w:pPr>
        <w:ind w:firstLine="480"/>
        <w:rPr>
          <w:color w:val="auto"/>
        </w:rPr>
      </w:pPr>
      <w:r>
        <w:rPr>
          <w:rFonts w:hint="eastAsia"/>
          <w:color w:val="auto"/>
        </w:rPr>
        <w:t>专管员点击待办事项中的相应链接，打开审批页面：</w:t>
      </w:r>
    </w:p>
    <w:p>
      <w:pPr>
        <w:rPr>
          <w:color w:val="auto"/>
        </w:rPr>
      </w:pPr>
      <w:r>
        <w:rPr>
          <w:color w:val="auto"/>
        </w:rPr>
        <w:drawing>
          <wp:inline distT="0" distB="0" distL="0" distR="0">
            <wp:extent cx="5274310" cy="247777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5274310" cy="2477827"/>
                    </a:xfrm>
                    <a:prstGeom prst="rect">
                      <a:avLst/>
                    </a:prstGeom>
                  </pic:spPr>
                </pic:pic>
              </a:graphicData>
            </a:graphic>
          </wp:inline>
        </w:drawing>
      </w:r>
    </w:p>
    <w:p>
      <w:pPr>
        <w:ind w:firstLine="480"/>
        <w:rPr>
          <w:color w:val="auto"/>
        </w:rPr>
      </w:pPr>
      <w:r>
        <w:rPr>
          <w:rFonts w:hint="eastAsia"/>
          <w:color w:val="auto"/>
        </w:rPr>
        <w:t xml:space="preserve"> “待初审”状态的记录，就是采购单位新提交的采购方式变更申请（如下图）。点击“选择”，勾选后点“审核”按钮，</w:t>
      </w:r>
    </w:p>
    <w:p>
      <w:pPr>
        <w:rPr>
          <w:color w:val="auto"/>
        </w:rPr>
      </w:pPr>
      <w:r>
        <w:rPr>
          <w:color w:val="auto"/>
        </w:rPr>
        <w:drawing>
          <wp:inline distT="0" distB="0" distL="0" distR="0">
            <wp:extent cx="5274310" cy="1591310"/>
            <wp:effectExtent l="0" t="0" r="254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274310" cy="1591450"/>
                    </a:xfrm>
                    <a:prstGeom prst="rect">
                      <a:avLst/>
                    </a:prstGeom>
                  </pic:spPr>
                </pic:pic>
              </a:graphicData>
            </a:graphic>
          </wp:inline>
        </w:drawing>
      </w:r>
    </w:p>
    <w:p>
      <w:pPr>
        <w:ind w:firstLine="480"/>
        <w:rPr>
          <w:color w:val="auto"/>
        </w:rPr>
      </w:pPr>
      <w:r>
        <w:rPr>
          <w:rFonts w:hint="eastAsia"/>
          <w:color w:val="auto"/>
        </w:rPr>
        <w:t>报表信息栏，点击不同的报表，右边栏相应刷新显示。附件信息栏，可以下载查看相应的申报材料信息。审批通过，则在处理结果中勾选“同意”，点“确定”按钮则该项目进入“待初审”状态；如果需要退回，点“退回”按钮，输入处理意见，点“确定”按钮，即退回到采购单位。</w:t>
      </w:r>
    </w:p>
    <w:p>
      <w:pPr>
        <w:rPr>
          <w:color w:val="auto"/>
        </w:rPr>
      </w:pPr>
      <w:r>
        <w:rPr>
          <w:color w:val="auto"/>
        </w:rPr>
        <w:drawing>
          <wp:inline distT="0" distB="0" distL="0" distR="0">
            <wp:extent cx="5274310" cy="3178175"/>
            <wp:effectExtent l="0" t="0" r="2540" b="317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8"/>
                    <a:stretch>
                      <a:fillRect/>
                    </a:stretch>
                  </pic:blipFill>
                  <pic:spPr>
                    <a:xfrm>
                      <a:off x="0" y="0"/>
                      <a:ext cx="5274310" cy="3178626"/>
                    </a:xfrm>
                    <a:prstGeom prst="rect">
                      <a:avLst/>
                    </a:prstGeom>
                  </pic:spPr>
                </pic:pic>
              </a:graphicData>
            </a:graphic>
          </wp:inline>
        </w:drawing>
      </w:r>
    </w:p>
    <w:p>
      <w:pPr>
        <w:pStyle w:val="6"/>
        <w:numPr>
          <w:ilvl w:val="0"/>
          <w:numId w:val="0"/>
        </w:numPr>
        <w:rPr>
          <w:color w:val="auto"/>
        </w:rPr>
      </w:pPr>
      <w:r>
        <w:rPr>
          <w:rFonts w:hint="eastAsia"/>
          <w:color w:val="auto"/>
        </w:rPr>
        <w:t>3.2.2.2处长复审（县级或县级市才需要操作）</w:t>
      </w:r>
    </w:p>
    <w:p>
      <w:pPr>
        <w:ind w:firstLine="480"/>
        <w:rPr>
          <w:color w:val="auto"/>
        </w:rPr>
      </w:pPr>
      <w:r>
        <w:rPr>
          <w:rFonts w:hint="eastAsia"/>
          <w:color w:val="auto"/>
        </w:rPr>
        <w:t>专管员初审通过以后，提交给处长复审。</w:t>
      </w:r>
    </w:p>
    <w:p>
      <w:pPr>
        <w:rPr>
          <w:color w:val="auto"/>
        </w:rPr>
      </w:pPr>
      <w:r>
        <w:rPr>
          <w:color w:val="auto"/>
        </w:rPr>
        <w:drawing>
          <wp:inline distT="0" distB="0" distL="0" distR="0">
            <wp:extent cx="5274310" cy="164020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274310" cy="1640286"/>
                    </a:xfrm>
                    <a:prstGeom prst="rect">
                      <a:avLst/>
                    </a:prstGeom>
                  </pic:spPr>
                </pic:pic>
              </a:graphicData>
            </a:graphic>
          </wp:inline>
        </w:drawing>
      </w:r>
    </w:p>
    <w:p>
      <w:pPr>
        <w:jc w:val="center"/>
        <w:rPr>
          <w:rFonts w:ascii="宋体" w:hAnsi="宋体"/>
          <w:bCs/>
          <w:iCs/>
          <w:color w:val="auto"/>
          <w:szCs w:val="20"/>
        </w:rPr>
      </w:pPr>
      <w:r>
        <w:rPr>
          <w:color w:val="auto"/>
        </w:rPr>
        <w:drawing>
          <wp:inline distT="0" distB="0" distL="0" distR="0">
            <wp:extent cx="5274310" cy="3122295"/>
            <wp:effectExtent l="0" t="0" r="2540" b="190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0"/>
                    <a:stretch>
                      <a:fillRect/>
                    </a:stretch>
                  </pic:blipFill>
                  <pic:spPr>
                    <a:xfrm>
                      <a:off x="0" y="0"/>
                      <a:ext cx="5274310" cy="3122465"/>
                    </a:xfrm>
                    <a:prstGeom prst="rect">
                      <a:avLst/>
                    </a:prstGeom>
                  </pic:spPr>
                </pic:pic>
              </a:graphicData>
            </a:graphic>
          </wp:inline>
        </w:drawing>
      </w:r>
    </w:p>
    <w:p>
      <w:pPr>
        <w:pStyle w:val="6"/>
        <w:numPr>
          <w:ilvl w:val="0"/>
          <w:numId w:val="0"/>
        </w:numPr>
        <w:rPr>
          <w:color w:val="auto"/>
        </w:rPr>
      </w:pPr>
      <w:r>
        <w:rPr>
          <w:rFonts w:hint="eastAsia"/>
          <w:color w:val="auto"/>
        </w:rPr>
        <w:t>3.2.2.3分管局长签发（县级或县级市才需要操作）</w:t>
      </w:r>
    </w:p>
    <w:p>
      <w:pPr>
        <w:ind w:firstLine="420"/>
        <w:rPr>
          <w:rFonts w:ascii="宋体" w:hAnsi="宋体"/>
          <w:bCs/>
          <w:iCs/>
          <w:color w:val="auto"/>
          <w:szCs w:val="20"/>
        </w:rPr>
      </w:pPr>
      <w:r>
        <w:rPr>
          <w:rFonts w:hint="eastAsia" w:ascii="宋体" w:hAnsi="宋体"/>
          <w:bCs/>
          <w:iCs/>
          <w:color w:val="auto"/>
          <w:szCs w:val="20"/>
        </w:rPr>
        <w:t>处长复审以后，提交给分管局长签发。</w:t>
      </w:r>
    </w:p>
    <w:p>
      <w:pPr>
        <w:rPr>
          <w:rFonts w:ascii="宋体" w:hAnsi="宋体"/>
          <w:bCs/>
          <w:iCs/>
          <w:color w:val="auto"/>
          <w:szCs w:val="20"/>
        </w:rPr>
      </w:pPr>
      <w:r>
        <w:rPr>
          <w:color w:val="auto"/>
        </w:rPr>
        <w:drawing>
          <wp:inline distT="0" distB="0" distL="0" distR="0">
            <wp:extent cx="5274310" cy="32010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4310" cy="3201213"/>
                    </a:xfrm>
                    <a:prstGeom prst="rect">
                      <a:avLst/>
                    </a:prstGeom>
                  </pic:spPr>
                </pic:pic>
              </a:graphicData>
            </a:graphic>
          </wp:inline>
        </w:drawing>
      </w:r>
    </w:p>
    <w:p>
      <w:pPr>
        <w:pStyle w:val="6"/>
        <w:numPr>
          <w:ilvl w:val="0"/>
          <w:numId w:val="0"/>
        </w:numPr>
        <w:rPr>
          <w:color w:val="auto"/>
        </w:rPr>
      </w:pPr>
      <w:r>
        <w:rPr>
          <w:rFonts w:hint="eastAsia"/>
          <w:color w:val="auto"/>
        </w:rPr>
        <w:t>3.2.2.4处长批复及电子签章（县级或县级市才需要操作）</w:t>
      </w:r>
    </w:p>
    <w:p>
      <w:pPr>
        <w:rPr>
          <w:color w:val="auto"/>
        </w:rPr>
      </w:pPr>
      <w:r>
        <w:rPr>
          <w:rFonts w:hint="eastAsia"/>
          <w:color w:val="auto"/>
        </w:rPr>
        <w:tab/>
      </w:r>
      <w:r>
        <w:rPr>
          <w:rFonts w:hint="eastAsia"/>
          <w:color w:val="auto"/>
        </w:rPr>
        <w:t>分管局长签发后，处长进行批复，并电子签章（电子签章可根据需要，如果需要加盖电子签章，需要提前办理CA锁，请联系运维人员了解办理流程）。审核通过以后，点“确定”按钮，弹出电子签章页面。</w:t>
      </w:r>
    </w:p>
    <w:p>
      <w:pPr>
        <w:rPr>
          <w:color w:val="auto"/>
        </w:rPr>
      </w:pPr>
      <w:r>
        <w:rPr>
          <w:color w:val="auto"/>
        </w:rPr>
        <w:drawing>
          <wp:inline distT="0" distB="0" distL="0" distR="0">
            <wp:extent cx="5274310" cy="28505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4310" cy="2850813"/>
                    </a:xfrm>
                    <a:prstGeom prst="rect">
                      <a:avLst/>
                    </a:prstGeom>
                  </pic:spPr>
                </pic:pic>
              </a:graphicData>
            </a:graphic>
          </wp:inline>
        </w:drawing>
      </w:r>
    </w:p>
    <w:p>
      <w:pPr>
        <w:rPr>
          <w:color w:val="auto"/>
        </w:rPr>
      </w:pPr>
      <w:r>
        <w:rPr>
          <w:color w:val="auto"/>
        </w:rPr>
        <w:drawing>
          <wp:inline distT="0" distB="0" distL="0" distR="0">
            <wp:extent cx="5274310" cy="29927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274310" cy="2993049"/>
                    </a:xfrm>
                    <a:prstGeom prst="rect">
                      <a:avLst/>
                    </a:prstGeom>
                  </pic:spPr>
                </pic:pic>
              </a:graphicData>
            </a:graphic>
          </wp:inline>
        </w:drawing>
      </w:r>
    </w:p>
    <w:p>
      <w:pPr>
        <w:pStyle w:val="6"/>
        <w:numPr>
          <w:ilvl w:val="0"/>
          <w:numId w:val="0"/>
        </w:numPr>
        <w:rPr>
          <w:color w:val="auto"/>
        </w:rPr>
      </w:pPr>
      <w:r>
        <w:rPr>
          <w:rFonts w:hint="eastAsia"/>
          <w:color w:val="auto"/>
        </w:rPr>
        <w:t>3.2.2.5专管员归档</w:t>
      </w:r>
    </w:p>
    <w:p>
      <w:pPr>
        <w:rPr>
          <w:color w:val="auto"/>
        </w:rPr>
      </w:pPr>
      <w:r>
        <w:rPr>
          <w:rFonts w:hint="eastAsia"/>
          <w:color w:val="auto"/>
        </w:rPr>
        <w:tab/>
      </w:r>
      <w:r>
        <w:rPr>
          <w:rFonts w:hint="eastAsia"/>
          <w:color w:val="auto"/>
        </w:rPr>
        <w:t>最后由专管员归档。</w:t>
      </w:r>
    </w:p>
    <w:p>
      <w:pPr>
        <w:rPr>
          <w:rFonts w:ascii="宋体" w:hAnsi="宋体"/>
          <w:bCs/>
          <w:iCs/>
          <w:color w:val="auto"/>
          <w:szCs w:val="20"/>
        </w:rPr>
      </w:pPr>
      <w:r>
        <w:rPr>
          <w:color w:val="auto"/>
        </w:rPr>
        <w:drawing>
          <wp:inline distT="0" distB="0" distL="0" distR="0">
            <wp:extent cx="5274310" cy="277304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274310" cy="2773286"/>
                    </a:xfrm>
                    <a:prstGeom prst="rect">
                      <a:avLst/>
                    </a:prstGeom>
                  </pic:spPr>
                </pic:pic>
              </a:graphicData>
            </a:graphic>
          </wp:inline>
        </w:drawing>
      </w:r>
    </w:p>
    <w:p>
      <w:pPr>
        <w:pStyle w:val="4"/>
        <w:numPr>
          <w:ilvl w:val="2"/>
          <w:numId w:val="2"/>
        </w:numPr>
        <w:tabs>
          <w:tab w:val="clear" w:pos="0"/>
        </w:tabs>
        <w:rPr>
          <w:color w:val="auto"/>
        </w:rPr>
      </w:pPr>
      <w:r>
        <w:rPr>
          <w:rFonts w:hint="eastAsia"/>
          <w:color w:val="auto"/>
        </w:rPr>
        <w:t>采购方式变更查询</w:t>
      </w:r>
      <w:bookmarkEnd w:id="6"/>
    </w:p>
    <w:p>
      <w:pPr>
        <w:pStyle w:val="5"/>
        <w:rPr>
          <w:color w:val="auto"/>
        </w:rPr>
      </w:pPr>
      <w:r>
        <w:rPr>
          <w:rFonts w:hint="eastAsia"/>
          <w:color w:val="auto"/>
        </w:rPr>
        <w:t>采购方式变更申请提交后，申请信息被提交到采购处待受理状态，此时在申报界面上看不到申请信息了，如果发现问题，可以联系采购处作退回处理。</w:t>
      </w:r>
    </w:p>
    <w:p>
      <w:pPr>
        <w:pStyle w:val="5"/>
        <w:rPr>
          <w:color w:val="auto"/>
        </w:rPr>
      </w:pPr>
      <w:r>
        <w:rPr>
          <w:rFonts w:hint="eastAsia"/>
          <w:color w:val="auto"/>
        </w:rPr>
        <w:t>无论处于什么状态，在采购方式变更申请中都可以查询到信息，包括签章信息。</w:t>
      </w:r>
    </w:p>
    <w:p>
      <w:pPr>
        <w:pStyle w:val="5"/>
        <w:ind w:firstLine="0"/>
        <w:rPr>
          <w:color w:val="auto"/>
        </w:rPr>
      </w:pPr>
      <w:r>
        <w:rPr>
          <w:color w:val="auto"/>
        </w:rPr>
        <w:drawing>
          <wp:inline distT="0" distB="0" distL="0" distR="0">
            <wp:extent cx="5274310" cy="12185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274310" cy="1219074"/>
                    </a:xfrm>
                    <a:prstGeom prst="rect">
                      <a:avLst/>
                    </a:prstGeom>
                  </pic:spPr>
                </pic:pic>
              </a:graphicData>
            </a:graphic>
          </wp:inline>
        </w:drawing>
      </w:r>
    </w:p>
    <w:p>
      <w:pPr>
        <w:pStyle w:val="5"/>
        <w:ind w:firstLine="480"/>
        <w:rPr>
          <w:color w:val="auto"/>
        </w:rPr>
      </w:pPr>
      <w:r>
        <w:rPr>
          <w:rFonts w:hint="eastAsia"/>
          <w:color w:val="auto"/>
        </w:rPr>
        <w:t xml:space="preserve"> “流程查看”按钮，则显示该申请的审核流程情况</w:t>
      </w:r>
    </w:p>
    <w:p>
      <w:pPr>
        <w:pStyle w:val="5"/>
        <w:ind w:firstLine="0"/>
        <w:jc w:val="center"/>
        <w:rPr>
          <w:color w:val="auto"/>
        </w:rPr>
      </w:pPr>
      <w:r>
        <w:rPr>
          <w:color w:val="auto"/>
        </w:rPr>
        <w:drawing>
          <wp:inline distT="0" distB="0" distL="0" distR="0">
            <wp:extent cx="4281170" cy="2131695"/>
            <wp:effectExtent l="0" t="0" r="5080" b="190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6"/>
                    <a:stretch>
                      <a:fillRect/>
                    </a:stretch>
                  </pic:blipFill>
                  <pic:spPr>
                    <a:xfrm>
                      <a:off x="0" y="0"/>
                      <a:ext cx="4284800" cy="2133473"/>
                    </a:xfrm>
                    <a:prstGeom prst="rect">
                      <a:avLst/>
                    </a:prstGeom>
                  </pic:spPr>
                </pic:pic>
              </a:graphicData>
            </a:graphic>
          </wp:inline>
        </w:drawing>
      </w:r>
    </w:p>
    <w:p>
      <w:pPr>
        <w:pStyle w:val="5"/>
        <w:ind w:firstLine="480"/>
        <w:rPr>
          <w:color w:val="auto"/>
        </w:rPr>
      </w:pPr>
      <w:r>
        <w:rPr>
          <w:rFonts w:hint="eastAsia"/>
          <w:color w:val="auto"/>
        </w:rPr>
        <w:t>其中，从开始到结束，所有的流程结点都会在流程图中列出，系统使用蓝色箭头表示当前申请已经走过的流程，以方便看到当前数据的状态。</w:t>
      </w:r>
    </w:p>
    <w:p>
      <w:pPr>
        <w:pStyle w:val="5"/>
        <w:ind w:firstLine="480"/>
        <w:rPr>
          <w:color w:val="auto"/>
        </w:rPr>
      </w:pPr>
      <w:r>
        <w:rPr>
          <w:rFonts w:hint="eastAsia"/>
          <w:color w:val="auto"/>
        </w:rPr>
        <w:t>蓝衣服头像表示已经走过的流程，黄衣服头像表示当前状态，鼠标指向头像时可以看到前后结点的经办人或审核人信息，以及做过的历史操作信息。</w:t>
      </w:r>
    </w:p>
    <w:p>
      <w:pPr>
        <w:pStyle w:val="2"/>
        <w:numPr>
          <w:ilvl w:val="0"/>
          <w:numId w:val="0"/>
        </w:numPr>
        <w:tabs>
          <w:tab w:val="clear" w:pos="1425"/>
        </w:tabs>
        <w:ind w:left="705"/>
        <w:rPr>
          <w:color w:val="auto"/>
        </w:rPr>
      </w:pPr>
      <w:bookmarkStart w:id="7" w:name="_Toc61208765"/>
      <w:r>
        <w:rPr>
          <w:rFonts w:hint="eastAsia"/>
          <w:color w:val="auto"/>
        </w:rPr>
        <w:t>第4 章</w:t>
      </w:r>
      <w:r>
        <w:rPr>
          <w:rFonts w:hint="eastAsia"/>
          <w:color w:val="auto"/>
          <w:lang w:val="en-US" w:eastAsia="zh-CN"/>
        </w:rPr>
        <w:t xml:space="preserve"> </w:t>
      </w:r>
      <w:r>
        <w:rPr>
          <w:rFonts w:hint="eastAsia"/>
          <w:color w:val="auto"/>
        </w:rPr>
        <w:t>数据应用</w:t>
      </w:r>
      <w:bookmarkEnd w:id="7"/>
    </w:p>
    <w:p>
      <w:pPr>
        <w:pStyle w:val="3"/>
        <w:numPr>
          <w:ilvl w:val="1"/>
          <w:numId w:val="0"/>
        </w:numPr>
        <w:tabs>
          <w:tab w:val="clear" w:pos="1545"/>
        </w:tabs>
        <w:rPr>
          <w:color w:val="auto"/>
        </w:rPr>
      </w:pPr>
      <w:bookmarkStart w:id="8" w:name="_Toc61208766"/>
      <w:r>
        <w:rPr>
          <w:rFonts w:hint="eastAsia"/>
          <w:color w:val="auto"/>
        </w:rPr>
        <w:t>4.1数据查询</w:t>
      </w:r>
      <w:bookmarkEnd w:id="8"/>
    </w:p>
    <w:p>
      <w:pPr>
        <w:pStyle w:val="4"/>
        <w:numPr>
          <w:ilvl w:val="2"/>
          <w:numId w:val="0"/>
        </w:numPr>
        <w:tabs>
          <w:tab w:val="clear" w:pos="1965"/>
        </w:tabs>
        <w:rPr>
          <w:color w:val="auto"/>
        </w:rPr>
      </w:pPr>
      <w:bookmarkStart w:id="9" w:name="_Toc61208767"/>
      <w:r>
        <w:rPr>
          <w:rFonts w:hint="eastAsia"/>
          <w:color w:val="auto"/>
        </w:rPr>
        <w:t>4.1.1政府采购业务数据查询</w:t>
      </w:r>
      <w:bookmarkEnd w:id="9"/>
    </w:p>
    <w:p>
      <w:pPr>
        <w:pStyle w:val="5"/>
        <w:rPr>
          <w:color w:val="auto"/>
        </w:rPr>
      </w:pPr>
      <w:r>
        <w:rPr>
          <w:rFonts w:hint="eastAsia"/>
          <w:color w:val="auto"/>
        </w:rPr>
        <w:t>可以查询所有采购业务数据，从采购委托单信息到开标信息，所有采购业务节点，可以查询具体节点上的所有采购信息；同时可以依据具体采购信息，点击项目信息，查看该项目中所有节点上的采购信息。</w:t>
      </w:r>
    </w:p>
    <w:p>
      <w:pPr>
        <w:pStyle w:val="5"/>
        <w:rPr>
          <w:color w:val="auto"/>
        </w:rPr>
      </w:pPr>
      <w:r>
        <w:rPr>
          <w:rFonts w:hint="eastAsia"/>
          <w:color w:val="auto"/>
        </w:rPr>
        <w:t>点击点击采购项目蓝色链接，层级获取查看具体项目将信息，如图：</w:t>
      </w:r>
    </w:p>
    <w:p>
      <w:pPr>
        <w:pStyle w:val="5"/>
        <w:rPr>
          <w:color w:val="auto"/>
        </w:rPr>
      </w:pPr>
      <w:r>
        <w:rPr>
          <w:color w:val="auto"/>
        </w:rPr>
        <w:drawing>
          <wp:inline distT="0" distB="0" distL="114300" distR="114300">
            <wp:extent cx="5271770" cy="2731770"/>
            <wp:effectExtent l="0" t="0" r="508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7"/>
                    <a:stretch>
                      <a:fillRect/>
                    </a:stretch>
                  </pic:blipFill>
                  <pic:spPr>
                    <a:xfrm>
                      <a:off x="0" y="0"/>
                      <a:ext cx="5271770" cy="2731770"/>
                    </a:xfrm>
                    <a:prstGeom prst="rect">
                      <a:avLst/>
                    </a:prstGeom>
                    <a:noFill/>
                    <a:ln>
                      <a:noFill/>
                    </a:ln>
                  </pic:spPr>
                </pic:pic>
              </a:graphicData>
            </a:graphic>
          </wp:inline>
        </w:drawing>
      </w:r>
    </w:p>
    <w:p>
      <w:pPr>
        <w:pStyle w:val="5"/>
        <w:rPr>
          <w:color w:val="auto"/>
        </w:rPr>
      </w:pPr>
      <w:r>
        <w:rPr>
          <w:color w:val="auto"/>
        </w:rPr>
        <w:drawing>
          <wp:inline distT="0" distB="0" distL="114300" distR="114300">
            <wp:extent cx="5268595" cy="2433955"/>
            <wp:effectExtent l="0" t="0" r="825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tretch>
                      <a:fillRect/>
                    </a:stretch>
                  </pic:blipFill>
                  <pic:spPr>
                    <a:xfrm>
                      <a:off x="0" y="0"/>
                      <a:ext cx="5268595" cy="2433955"/>
                    </a:xfrm>
                    <a:prstGeom prst="rect">
                      <a:avLst/>
                    </a:prstGeom>
                    <a:noFill/>
                    <a:ln>
                      <a:noFill/>
                    </a:ln>
                  </pic:spPr>
                </pic:pic>
              </a:graphicData>
            </a:graphic>
          </wp:inline>
        </w:drawing>
      </w:r>
    </w:p>
    <w:p>
      <w:pPr>
        <w:pStyle w:val="5"/>
        <w:rPr>
          <w:color w:val="auto"/>
        </w:rPr>
      </w:pPr>
      <w:r>
        <w:rPr>
          <w:color w:val="auto"/>
        </w:rPr>
        <w:drawing>
          <wp:inline distT="0" distB="0" distL="114300" distR="114300">
            <wp:extent cx="5269865" cy="2641600"/>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69865" cy="2641600"/>
                    </a:xfrm>
                    <a:prstGeom prst="rect">
                      <a:avLst/>
                    </a:prstGeom>
                    <a:noFill/>
                    <a:ln>
                      <a:noFill/>
                    </a:ln>
                  </pic:spPr>
                </pic:pic>
              </a:graphicData>
            </a:graphic>
          </wp:inline>
        </w:drawing>
      </w:r>
    </w:p>
    <w:p>
      <w:pPr>
        <w:pStyle w:val="5"/>
        <w:rPr>
          <w:color w:val="auto"/>
        </w:rPr>
      </w:pPr>
    </w:p>
    <w:p>
      <w:pPr>
        <w:pStyle w:val="5"/>
        <w:rPr>
          <w:color w:val="auto"/>
        </w:rPr>
      </w:pPr>
      <w:r>
        <w:rPr>
          <w:rFonts w:hint="eastAsia"/>
          <w:color w:val="auto"/>
        </w:rPr>
        <w:t>同时，当需要查看对应的项目，所有的采购业务信息时，可以点击对应的项目信息，查看该项目所有的采购信息。</w:t>
      </w:r>
    </w:p>
    <w:p>
      <w:pPr>
        <w:pStyle w:val="5"/>
        <w:rPr>
          <w:color w:val="auto"/>
        </w:rPr>
      </w:pPr>
      <w:r>
        <w:rPr>
          <w:rFonts w:hint="eastAsia"/>
          <w:color w:val="auto"/>
        </w:rPr>
        <w:t>如图：</w:t>
      </w:r>
    </w:p>
    <w:p>
      <w:pPr>
        <w:pStyle w:val="5"/>
        <w:rPr>
          <w:color w:val="auto"/>
        </w:rPr>
      </w:pPr>
      <w:r>
        <w:rPr>
          <w:color w:val="auto"/>
        </w:rPr>
        <w:drawing>
          <wp:inline distT="0" distB="0" distL="114300" distR="114300">
            <wp:extent cx="5274310" cy="2461895"/>
            <wp:effectExtent l="0" t="0" r="2540" b="1460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30"/>
                    <a:stretch>
                      <a:fillRect/>
                    </a:stretch>
                  </pic:blipFill>
                  <pic:spPr>
                    <a:xfrm>
                      <a:off x="0" y="0"/>
                      <a:ext cx="5274310" cy="2461895"/>
                    </a:xfrm>
                    <a:prstGeom prst="rect">
                      <a:avLst/>
                    </a:prstGeom>
                    <a:noFill/>
                    <a:ln>
                      <a:noFill/>
                    </a:ln>
                  </pic:spPr>
                </pic:pic>
              </a:graphicData>
            </a:graphic>
          </wp:inline>
        </w:drawing>
      </w:r>
    </w:p>
    <w:p>
      <w:pPr>
        <w:pStyle w:val="5"/>
        <w:rPr>
          <w:color w:val="auto"/>
        </w:rPr>
      </w:pPr>
      <w:r>
        <w:rPr>
          <w:color w:val="auto"/>
        </w:rPr>
        <w:drawing>
          <wp:inline distT="0" distB="0" distL="114300" distR="114300">
            <wp:extent cx="5271770" cy="2244725"/>
            <wp:effectExtent l="0" t="0" r="5080" b="317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1"/>
                    <a:stretch>
                      <a:fillRect/>
                    </a:stretch>
                  </pic:blipFill>
                  <pic:spPr>
                    <a:xfrm>
                      <a:off x="0" y="0"/>
                      <a:ext cx="5271770" cy="2244725"/>
                    </a:xfrm>
                    <a:prstGeom prst="rect">
                      <a:avLst/>
                    </a:prstGeom>
                    <a:noFill/>
                    <a:ln>
                      <a:noFill/>
                    </a:ln>
                  </pic:spPr>
                </pic:pic>
              </a:graphicData>
            </a:graphic>
          </wp:inline>
        </w:drawing>
      </w:r>
    </w:p>
    <w:p>
      <w:pPr>
        <w:pStyle w:val="5"/>
        <w:rPr>
          <w:color w:val="auto"/>
        </w:rPr>
      </w:pPr>
      <w:r>
        <w:rPr>
          <w:color w:val="auto"/>
        </w:rPr>
        <w:drawing>
          <wp:inline distT="0" distB="0" distL="114300" distR="114300">
            <wp:extent cx="5270500" cy="2899410"/>
            <wp:effectExtent l="0" t="0" r="6350" b="1524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2"/>
                    <a:stretch>
                      <a:fillRect/>
                    </a:stretch>
                  </pic:blipFill>
                  <pic:spPr>
                    <a:xfrm>
                      <a:off x="0" y="0"/>
                      <a:ext cx="5270500" cy="2899410"/>
                    </a:xfrm>
                    <a:prstGeom prst="rect">
                      <a:avLst/>
                    </a:prstGeom>
                    <a:noFill/>
                    <a:ln>
                      <a:noFill/>
                    </a:ln>
                  </pic:spPr>
                </pic:pic>
              </a:graphicData>
            </a:graphic>
          </wp:inline>
        </w:drawing>
      </w:r>
    </w:p>
    <w:p>
      <w:pPr>
        <w:pStyle w:val="4"/>
        <w:numPr>
          <w:ilvl w:val="2"/>
          <w:numId w:val="0"/>
        </w:numPr>
        <w:tabs>
          <w:tab w:val="clear" w:pos="1965"/>
        </w:tabs>
        <w:rPr>
          <w:color w:val="auto"/>
        </w:rPr>
      </w:pPr>
      <w:bookmarkStart w:id="10" w:name="_Toc61208768"/>
      <w:r>
        <w:rPr>
          <w:rFonts w:hint="eastAsia"/>
          <w:color w:val="auto"/>
        </w:rPr>
        <w:t>4.1.2政府采购项目进度查询</w:t>
      </w:r>
      <w:bookmarkEnd w:id="10"/>
    </w:p>
    <w:p>
      <w:pPr>
        <w:pStyle w:val="5"/>
        <w:rPr>
          <w:color w:val="auto"/>
        </w:rPr>
      </w:pPr>
      <w:r>
        <w:rPr>
          <w:rFonts w:hint="eastAsia"/>
          <w:color w:val="auto"/>
        </w:rPr>
        <w:t>依据不同的搜索条件，同时选择想要的筛选条件进行搜索。</w:t>
      </w:r>
    </w:p>
    <w:p>
      <w:pPr>
        <w:pStyle w:val="5"/>
        <w:rPr>
          <w:color w:val="auto"/>
        </w:rPr>
      </w:pPr>
      <w:r>
        <w:rPr>
          <w:rFonts w:hint="eastAsia"/>
          <w:color w:val="auto"/>
        </w:rPr>
        <w:t>如图：</w:t>
      </w:r>
    </w:p>
    <w:p>
      <w:pPr>
        <w:pStyle w:val="5"/>
        <w:rPr>
          <w:rStyle w:val="18"/>
          <w:color w:val="auto"/>
        </w:rPr>
      </w:pPr>
      <w:r>
        <w:rPr>
          <w:color w:val="auto"/>
        </w:rPr>
        <w:drawing>
          <wp:inline distT="0" distB="0" distL="114300" distR="114300">
            <wp:extent cx="5264150" cy="2787015"/>
            <wp:effectExtent l="0" t="0" r="12700" b="1333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3"/>
                    <a:stretch>
                      <a:fillRect/>
                    </a:stretch>
                  </pic:blipFill>
                  <pic:spPr>
                    <a:xfrm>
                      <a:off x="0" y="0"/>
                      <a:ext cx="5264150" cy="2787015"/>
                    </a:xfrm>
                    <a:prstGeom prst="rect">
                      <a:avLst/>
                    </a:prstGeom>
                    <a:noFill/>
                    <a:ln>
                      <a:noFill/>
                    </a:ln>
                  </pic:spPr>
                </pic:pic>
              </a:graphicData>
            </a:graphic>
          </wp:inline>
        </w:drawing>
      </w:r>
      <w:r>
        <w:rPr>
          <w:rStyle w:val="18"/>
          <w:rFonts w:hint="eastAsia"/>
          <w:color w:val="auto"/>
        </w:rPr>
        <w:t>4.1.3政府采购合同管理情况</w:t>
      </w:r>
    </w:p>
    <w:p>
      <w:pPr>
        <w:pStyle w:val="5"/>
        <w:rPr>
          <w:color w:val="auto"/>
        </w:rPr>
      </w:pPr>
      <w:r>
        <w:rPr>
          <w:rFonts w:hint="eastAsia"/>
          <w:color w:val="auto"/>
        </w:rPr>
        <w:t>记录了所有采购合同的信息，依据相应的筛选条件，进行选择或者录入，点击搜索，即可查询相应的采购合同信息。</w:t>
      </w:r>
    </w:p>
    <w:p>
      <w:pPr>
        <w:pStyle w:val="5"/>
        <w:rPr>
          <w:color w:val="auto"/>
        </w:rPr>
      </w:pPr>
      <w:r>
        <w:rPr>
          <w:rFonts w:hint="eastAsia"/>
          <w:color w:val="auto"/>
        </w:rPr>
        <w:t>如图：</w:t>
      </w:r>
    </w:p>
    <w:p>
      <w:pPr>
        <w:pStyle w:val="5"/>
        <w:rPr>
          <w:color w:val="auto"/>
        </w:rPr>
      </w:pPr>
      <w:r>
        <w:rPr>
          <w:color w:val="auto"/>
        </w:rPr>
        <w:drawing>
          <wp:inline distT="0" distB="0" distL="114300" distR="114300">
            <wp:extent cx="5264150" cy="2787015"/>
            <wp:effectExtent l="0" t="0" r="12700" b="1333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3"/>
                    <a:stretch>
                      <a:fillRect/>
                    </a:stretch>
                  </pic:blipFill>
                  <pic:spPr>
                    <a:xfrm>
                      <a:off x="0" y="0"/>
                      <a:ext cx="5264150" cy="2787015"/>
                    </a:xfrm>
                    <a:prstGeom prst="rect">
                      <a:avLst/>
                    </a:prstGeom>
                    <a:noFill/>
                    <a:ln>
                      <a:noFill/>
                    </a:ln>
                  </pic:spPr>
                </pic:pic>
              </a:graphicData>
            </a:graphic>
          </wp:inline>
        </w:drawing>
      </w:r>
    </w:p>
    <w:p>
      <w:pPr>
        <w:rPr>
          <w:color w:val="auto"/>
        </w:rPr>
      </w:pPr>
    </w:p>
    <w:p>
      <w:pPr>
        <w:pStyle w:val="4"/>
        <w:numPr>
          <w:ilvl w:val="2"/>
          <w:numId w:val="0"/>
        </w:numPr>
        <w:tabs>
          <w:tab w:val="clear" w:pos="1965"/>
        </w:tabs>
        <w:rPr>
          <w:color w:val="auto"/>
        </w:rPr>
      </w:pPr>
      <w:bookmarkStart w:id="11" w:name="_Toc61208769"/>
      <w:r>
        <w:rPr>
          <w:rFonts w:hint="eastAsia"/>
          <w:color w:val="auto"/>
        </w:rPr>
        <w:t>4.1.4政府采购履约验收情况</w:t>
      </w:r>
      <w:bookmarkEnd w:id="11"/>
    </w:p>
    <w:p>
      <w:pPr>
        <w:pStyle w:val="5"/>
        <w:rPr>
          <w:color w:val="auto"/>
        </w:rPr>
      </w:pPr>
      <w:r>
        <w:rPr>
          <w:rFonts w:hint="eastAsia"/>
          <w:color w:val="auto"/>
        </w:rPr>
        <w:t>记录了所有采购履约验收信息，依据相应的筛选条件，进行选择或者录入，点击搜索，即可查询相应的采购履约验收信息。</w:t>
      </w:r>
    </w:p>
    <w:p>
      <w:pPr>
        <w:pStyle w:val="5"/>
        <w:rPr>
          <w:color w:val="auto"/>
        </w:rPr>
      </w:pPr>
      <w:r>
        <w:rPr>
          <w:rFonts w:hint="eastAsia"/>
          <w:color w:val="auto"/>
        </w:rPr>
        <w:t>如图：</w:t>
      </w:r>
    </w:p>
    <w:p>
      <w:pPr>
        <w:pStyle w:val="5"/>
        <w:rPr>
          <w:color w:val="auto"/>
        </w:rPr>
      </w:pPr>
      <w:r>
        <w:rPr>
          <w:color w:val="auto"/>
        </w:rPr>
        <w:drawing>
          <wp:inline distT="0" distB="0" distL="114300" distR="114300">
            <wp:extent cx="5273675" cy="1841500"/>
            <wp:effectExtent l="0" t="0" r="3175" b="635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4"/>
                    <a:stretch>
                      <a:fillRect/>
                    </a:stretch>
                  </pic:blipFill>
                  <pic:spPr>
                    <a:xfrm>
                      <a:off x="0" y="0"/>
                      <a:ext cx="5273675" cy="1841500"/>
                    </a:xfrm>
                    <a:prstGeom prst="rect">
                      <a:avLst/>
                    </a:prstGeom>
                    <a:noFill/>
                    <a:ln>
                      <a:noFill/>
                    </a:ln>
                  </pic:spPr>
                </pic:pic>
              </a:graphicData>
            </a:graphic>
          </wp:inline>
        </w:drawing>
      </w:r>
    </w:p>
    <w:p>
      <w:pPr>
        <w:pStyle w:val="4"/>
        <w:numPr>
          <w:ilvl w:val="2"/>
          <w:numId w:val="0"/>
        </w:numPr>
        <w:tabs>
          <w:tab w:val="clear" w:pos="1965"/>
        </w:tabs>
        <w:rPr>
          <w:color w:val="auto"/>
        </w:rPr>
      </w:pPr>
      <w:bookmarkStart w:id="12" w:name="_Toc61208770"/>
      <w:r>
        <w:rPr>
          <w:rFonts w:hint="eastAsia"/>
          <w:color w:val="auto"/>
        </w:rPr>
        <w:t>4.1.5政府采购项目中标</w:t>
      </w:r>
      <w:bookmarkEnd w:id="12"/>
    </w:p>
    <w:p>
      <w:pPr>
        <w:pStyle w:val="5"/>
        <w:rPr>
          <w:color w:val="auto"/>
        </w:rPr>
      </w:pPr>
      <w:r>
        <w:rPr>
          <w:rFonts w:hint="eastAsia"/>
          <w:color w:val="auto"/>
        </w:rPr>
        <w:t>记录了所有政府采购项目中标信息，依据相应的筛选条件，进行选择或者录入，点击搜索，即可查询相应的采购项目中标信息。</w:t>
      </w:r>
    </w:p>
    <w:p>
      <w:pPr>
        <w:pStyle w:val="5"/>
        <w:rPr>
          <w:color w:val="auto"/>
        </w:rPr>
      </w:pPr>
      <w:r>
        <w:rPr>
          <w:rFonts w:hint="eastAsia"/>
          <w:color w:val="auto"/>
        </w:rPr>
        <w:t>如图：</w:t>
      </w:r>
    </w:p>
    <w:p>
      <w:pPr>
        <w:pStyle w:val="5"/>
        <w:rPr>
          <w:color w:val="auto"/>
        </w:rPr>
      </w:pPr>
      <w:r>
        <w:rPr>
          <w:color w:val="auto"/>
        </w:rPr>
        <w:drawing>
          <wp:inline distT="0" distB="0" distL="114300" distR="114300">
            <wp:extent cx="5262245" cy="2697480"/>
            <wp:effectExtent l="0" t="0" r="14605" b="762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5"/>
                    <a:stretch>
                      <a:fillRect/>
                    </a:stretch>
                  </pic:blipFill>
                  <pic:spPr>
                    <a:xfrm>
                      <a:off x="0" y="0"/>
                      <a:ext cx="5262245" cy="2697480"/>
                    </a:xfrm>
                    <a:prstGeom prst="rect">
                      <a:avLst/>
                    </a:prstGeom>
                    <a:noFill/>
                    <a:ln>
                      <a:noFill/>
                    </a:ln>
                  </pic:spPr>
                </pic:pic>
              </a:graphicData>
            </a:graphic>
          </wp:inline>
        </w:drawing>
      </w:r>
    </w:p>
    <w:p>
      <w:pPr>
        <w:pStyle w:val="3"/>
        <w:numPr>
          <w:ilvl w:val="1"/>
          <w:numId w:val="0"/>
        </w:numPr>
        <w:tabs>
          <w:tab w:val="clear" w:pos="1545"/>
        </w:tabs>
        <w:rPr>
          <w:color w:val="auto"/>
        </w:rPr>
      </w:pPr>
      <w:bookmarkStart w:id="13" w:name="_Toc61208771"/>
      <w:r>
        <w:rPr>
          <w:rFonts w:hint="eastAsia"/>
          <w:color w:val="auto"/>
        </w:rPr>
        <w:t>4.2数据分析</w:t>
      </w:r>
      <w:bookmarkEnd w:id="13"/>
    </w:p>
    <w:p>
      <w:pPr>
        <w:pStyle w:val="4"/>
        <w:numPr>
          <w:ilvl w:val="2"/>
          <w:numId w:val="0"/>
        </w:numPr>
        <w:tabs>
          <w:tab w:val="clear" w:pos="1965"/>
        </w:tabs>
        <w:rPr>
          <w:color w:val="auto"/>
        </w:rPr>
      </w:pPr>
      <w:bookmarkStart w:id="14" w:name="_Toc61208772"/>
      <w:r>
        <w:rPr>
          <w:rFonts w:hint="eastAsia"/>
          <w:color w:val="auto"/>
        </w:rPr>
        <w:t>4.2.1交换数据情况总览</w:t>
      </w:r>
      <w:bookmarkEnd w:id="14"/>
    </w:p>
    <w:p>
      <w:pPr>
        <w:pStyle w:val="5"/>
        <w:rPr>
          <w:color w:val="auto"/>
        </w:rPr>
      </w:pPr>
      <w:r>
        <w:rPr>
          <w:rFonts w:hint="eastAsia"/>
          <w:color w:val="auto"/>
        </w:rPr>
        <w:t>统计了所有政府采购项目数据交换信息，依据相应的时间以及地区进行搜索，即可查询所有的数据交换信息。</w:t>
      </w:r>
    </w:p>
    <w:p>
      <w:pPr>
        <w:pStyle w:val="5"/>
        <w:rPr>
          <w:color w:val="auto"/>
        </w:rPr>
      </w:pPr>
      <w:r>
        <w:rPr>
          <w:rFonts w:hint="eastAsia"/>
          <w:color w:val="auto"/>
        </w:rPr>
        <w:t>第一列总数记录了政府采购交易执行系统传输的数据，第二列是预算执行系统传输过来的相关数据；同时，点击数字的蓝色链接，可以层级钻取查看明细项目数据。</w:t>
      </w:r>
    </w:p>
    <w:p>
      <w:pPr>
        <w:pStyle w:val="5"/>
        <w:rPr>
          <w:color w:val="auto"/>
        </w:rPr>
      </w:pPr>
      <w:r>
        <w:rPr>
          <w:rFonts w:hint="eastAsia"/>
          <w:color w:val="auto"/>
        </w:rPr>
        <w:t>如图：</w:t>
      </w:r>
    </w:p>
    <w:p>
      <w:pPr>
        <w:pStyle w:val="5"/>
        <w:rPr>
          <w:color w:val="auto"/>
        </w:rPr>
      </w:pPr>
      <w:r>
        <w:rPr>
          <w:color w:val="auto"/>
        </w:rPr>
        <w:drawing>
          <wp:inline distT="0" distB="0" distL="114300" distR="114300">
            <wp:extent cx="5273040" cy="1908810"/>
            <wp:effectExtent l="0" t="0" r="3810" b="1524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6"/>
                    <a:stretch>
                      <a:fillRect/>
                    </a:stretch>
                  </pic:blipFill>
                  <pic:spPr>
                    <a:xfrm>
                      <a:off x="0" y="0"/>
                      <a:ext cx="5273040" cy="1908810"/>
                    </a:xfrm>
                    <a:prstGeom prst="rect">
                      <a:avLst/>
                    </a:prstGeom>
                    <a:noFill/>
                    <a:ln>
                      <a:noFill/>
                    </a:ln>
                  </pic:spPr>
                </pic:pic>
              </a:graphicData>
            </a:graphic>
          </wp:inline>
        </w:drawing>
      </w:r>
    </w:p>
    <w:p>
      <w:pPr>
        <w:pStyle w:val="5"/>
        <w:rPr>
          <w:color w:val="auto"/>
        </w:rPr>
      </w:pPr>
      <w:r>
        <w:rPr>
          <w:rFonts w:hint="eastAsia"/>
          <w:color w:val="auto"/>
        </w:rPr>
        <w:t>点击具体数字，如图：</w:t>
      </w:r>
    </w:p>
    <w:p>
      <w:pPr>
        <w:pStyle w:val="5"/>
        <w:rPr>
          <w:color w:val="auto"/>
        </w:rPr>
      </w:pPr>
      <w:r>
        <w:rPr>
          <w:color w:val="auto"/>
        </w:rPr>
        <w:drawing>
          <wp:inline distT="0" distB="0" distL="114300" distR="114300">
            <wp:extent cx="5264785" cy="2689225"/>
            <wp:effectExtent l="0" t="0" r="12065" b="1587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7"/>
                    <a:stretch>
                      <a:fillRect/>
                    </a:stretch>
                  </pic:blipFill>
                  <pic:spPr>
                    <a:xfrm>
                      <a:off x="0" y="0"/>
                      <a:ext cx="5264785" cy="2689225"/>
                    </a:xfrm>
                    <a:prstGeom prst="rect">
                      <a:avLst/>
                    </a:prstGeom>
                    <a:noFill/>
                    <a:ln>
                      <a:noFill/>
                    </a:ln>
                  </pic:spPr>
                </pic:pic>
              </a:graphicData>
            </a:graphic>
          </wp:inline>
        </w:drawing>
      </w:r>
    </w:p>
    <w:p>
      <w:pPr>
        <w:pStyle w:val="5"/>
        <w:rPr>
          <w:color w:val="auto"/>
        </w:rPr>
      </w:pPr>
      <w:r>
        <w:rPr>
          <w:color w:val="auto"/>
        </w:rPr>
        <w:drawing>
          <wp:inline distT="0" distB="0" distL="114300" distR="114300">
            <wp:extent cx="5259705" cy="2628265"/>
            <wp:effectExtent l="0" t="0" r="17145" b="63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8"/>
                    <a:stretch>
                      <a:fillRect/>
                    </a:stretch>
                  </pic:blipFill>
                  <pic:spPr>
                    <a:xfrm>
                      <a:off x="0" y="0"/>
                      <a:ext cx="5259705" cy="2628265"/>
                    </a:xfrm>
                    <a:prstGeom prst="rect">
                      <a:avLst/>
                    </a:prstGeom>
                    <a:noFill/>
                    <a:ln>
                      <a:noFill/>
                    </a:ln>
                  </pic:spPr>
                </pic:pic>
              </a:graphicData>
            </a:graphic>
          </wp:inline>
        </w:drawing>
      </w:r>
    </w:p>
    <w:p>
      <w:pPr>
        <w:pStyle w:val="4"/>
        <w:numPr>
          <w:ilvl w:val="2"/>
          <w:numId w:val="0"/>
        </w:numPr>
        <w:tabs>
          <w:tab w:val="clear" w:pos="1965"/>
        </w:tabs>
        <w:rPr>
          <w:color w:val="auto"/>
        </w:rPr>
      </w:pPr>
      <w:bookmarkStart w:id="15" w:name="_Toc61208773"/>
      <w:r>
        <w:rPr>
          <w:rFonts w:hint="eastAsia"/>
          <w:color w:val="auto"/>
        </w:rPr>
        <w:t>4.2.2数据交换情况分析</w:t>
      </w:r>
      <w:bookmarkEnd w:id="15"/>
    </w:p>
    <w:p>
      <w:pPr>
        <w:pStyle w:val="5"/>
        <w:rPr>
          <w:color w:val="auto"/>
        </w:rPr>
      </w:pPr>
      <w:r>
        <w:rPr>
          <w:rFonts w:hint="eastAsia"/>
          <w:color w:val="auto"/>
        </w:rPr>
        <w:t>按照江苏省采购监管平台数据规范，系统自动罗列出数据缺漏以及不规范情况下的相应数据，点击市或者各个区，可以查看对应的数据交换情况。</w:t>
      </w:r>
    </w:p>
    <w:p>
      <w:pPr>
        <w:pStyle w:val="5"/>
        <w:rPr>
          <w:color w:val="auto"/>
        </w:rPr>
      </w:pPr>
      <w:r>
        <w:rPr>
          <w:rFonts w:hint="eastAsia"/>
          <w:color w:val="auto"/>
        </w:rPr>
        <w:t>最新上传时间为该地区该业务表最新上传时间。</w:t>
      </w:r>
    </w:p>
    <w:p>
      <w:pPr>
        <w:pStyle w:val="5"/>
        <w:rPr>
          <w:color w:val="auto"/>
        </w:rPr>
      </w:pPr>
      <w:r>
        <w:rPr>
          <w:color w:val="auto"/>
        </w:rPr>
        <w:drawing>
          <wp:inline distT="0" distB="0" distL="114300" distR="114300">
            <wp:extent cx="5274310" cy="3248660"/>
            <wp:effectExtent l="0" t="0" r="2540" b="889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39"/>
                    <a:stretch>
                      <a:fillRect/>
                    </a:stretch>
                  </pic:blipFill>
                  <pic:spPr>
                    <a:xfrm>
                      <a:off x="0" y="0"/>
                      <a:ext cx="5274310" cy="3248660"/>
                    </a:xfrm>
                    <a:prstGeom prst="rect">
                      <a:avLst/>
                    </a:prstGeom>
                    <a:noFill/>
                    <a:ln>
                      <a:noFill/>
                    </a:ln>
                  </pic:spPr>
                </pic:pic>
              </a:graphicData>
            </a:graphic>
          </wp:inline>
        </w:drawing>
      </w:r>
    </w:p>
    <w:p>
      <w:pPr>
        <w:pStyle w:val="4"/>
        <w:numPr>
          <w:ilvl w:val="2"/>
          <w:numId w:val="0"/>
        </w:numPr>
        <w:tabs>
          <w:tab w:val="clear" w:pos="1965"/>
        </w:tabs>
        <w:rPr>
          <w:color w:val="auto"/>
        </w:rPr>
      </w:pPr>
      <w:bookmarkStart w:id="16" w:name="_Toc61208774"/>
      <w:r>
        <w:rPr>
          <w:rFonts w:hint="eastAsia"/>
          <w:color w:val="auto"/>
        </w:rPr>
        <w:t>4.2.3数据交换质量分析</w:t>
      </w:r>
      <w:bookmarkEnd w:id="16"/>
    </w:p>
    <w:p>
      <w:pPr>
        <w:pStyle w:val="5"/>
        <w:rPr>
          <w:color w:val="auto"/>
        </w:rPr>
      </w:pPr>
      <w:r>
        <w:rPr>
          <w:rFonts w:hint="eastAsia"/>
          <w:color w:val="auto"/>
        </w:rPr>
        <w:t>数据合格性检测分析。点击验证，系统会自动验证对应的数据质量是否符合要求。同时，点击对应蓝色或者红色数字链接，可以自动跳转并获取对应的数据合格与不合格明细数据。</w:t>
      </w:r>
    </w:p>
    <w:p>
      <w:pPr>
        <w:pStyle w:val="5"/>
        <w:rPr>
          <w:color w:val="auto"/>
        </w:rPr>
      </w:pPr>
      <w:r>
        <w:rPr>
          <w:color w:val="auto"/>
        </w:rPr>
        <w:drawing>
          <wp:inline distT="0" distB="0" distL="114300" distR="114300">
            <wp:extent cx="5271135" cy="2418080"/>
            <wp:effectExtent l="0" t="0" r="5715" b="127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40"/>
                    <a:stretch>
                      <a:fillRect/>
                    </a:stretch>
                  </pic:blipFill>
                  <pic:spPr>
                    <a:xfrm>
                      <a:off x="0" y="0"/>
                      <a:ext cx="5271135" cy="2418080"/>
                    </a:xfrm>
                    <a:prstGeom prst="rect">
                      <a:avLst/>
                    </a:prstGeom>
                    <a:noFill/>
                    <a:ln>
                      <a:noFill/>
                    </a:ln>
                  </pic:spPr>
                </pic:pic>
              </a:graphicData>
            </a:graphic>
          </wp:inline>
        </w:drawing>
      </w:r>
    </w:p>
    <w:p>
      <w:pPr>
        <w:pStyle w:val="5"/>
        <w:rPr>
          <w:color w:val="auto"/>
        </w:rPr>
      </w:pPr>
      <w:r>
        <w:rPr>
          <w:color w:val="auto"/>
        </w:rPr>
        <w:drawing>
          <wp:inline distT="0" distB="0" distL="114300" distR="114300">
            <wp:extent cx="5265420" cy="2953385"/>
            <wp:effectExtent l="0" t="0" r="11430" b="1841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41"/>
                    <a:stretch>
                      <a:fillRect/>
                    </a:stretch>
                  </pic:blipFill>
                  <pic:spPr>
                    <a:xfrm>
                      <a:off x="0" y="0"/>
                      <a:ext cx="5265420" cy="2953385"/>
                    </a:xfrm>
                    <a:prstGeom prst="rect">
                      <a:avLst/>
                    </a:prstGeom>
                    <a:noFill/>
                    <a:ln>
                      <a:noFill/>
                    </a:ln>
                  </pic:spPr>
                </pic:pic>
              </a:graphicData>
            </a:graphic>
          </wp:inline>
        </w:drawing>
      </w:r>
    </w:p>
    <w:p>
      <w:pPr>
        <w:pStyle w:val="5"/>
        <w:rPr>
          <w:color w:val="auto"/>
        </w:rPr>
      </w:pPr>
    </w:p>
    <w:p>
      <w:pPr>
        <w:pStyle w:val="5"/>
        <w:rPr>
          <w:color w:val="auto"/>
        </w:rPr>
      </w:pPr>
      <w:r>
        <w:rPr>
          <w:color w:val="auto"/>
        </w:rPr>
        <w:drawing>
          <wp:inline distT="0" distB="0" distL="114300" distR="114300">
            <wp:extent cx="5269865" cy="931545"/>
            <wp:effectExtent l="0" t="0" r="6985" b="190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42"/>
                    <a:stretch>
                      <a:fillRect/>
                    </a:stretch>
                  </pic:blipFill>
                  <pic:spPr>
                    <a:xfrm>
                      <a:off x="0" y="0"/>
                      <a:ext cx="5269865" cy="931545"/>
                    </a:xfrm>
                    <a:prstGeom prst="rect">
                      <a:avLst/>
                    </a:prstGeom>
                    <a:noFill/>
                    <a:ln>
                      <a:noFill/>
                    </a:ln>
                  </pic:spPr>
                </pic:pic>
              </a:graphicData>
            </a:graphic>
          </wp:inline>
        </w:drawing>
      </w:r>
    </w:p>
    <w:p>
      <w:pPr>
        <w:pStyle w:val="5"/>
        <w:ind w:firstLine="0"/>
        <w:rPr>
          <w:color w:val="auto"/>
        </w:rPr>
      </w:pPr>
    </w:p>
    <w:p>
      <w:pPr>
        <w:pStyle w:val="3"/>
        <w:numPr>
          <w:ilvl w:val="1"/>
          <w:numId w:val="0"/>
        </w:numPr>
        <w:tabs>
          <w:tab w:val="clear" w:pos="1545"/>
        </w:tabs>
        <w:rPr>
          <w:color w:val="auto"/>
        </w:rPr>
      </w:pPr>
      <w:bookmarkStart w:id="17" w:name="_Toc61208776"/>
      <w:r>
        <w:rPr>
          <w:rFonts w:hint="eastAsia"/>
          <w:color w:val="auto"/>
        </w:rPr>
        <w:t>4.3监督事项清单</w:t>
      </w:r>
      <w:bookmarkEnd w:id="17"/>
    </w:p>
    <w:p>
      <w:pPr>
        <w:pStyle w:val="5"/>
        <w:rPr>
          <w:color w:val="auto"/>
        </w:rPr>
      </w:pPr>
      <w:r>
        <w:rPr>
          <w:rFonts w:hint="eastAsia"/>
          <w:color w:val="auto"/>
        </w:rPr>
        <w:t>对于市区县推送的数据，系统设置了预警监管点，区域选择江苏省，系统显示通用的12条监管点，市默认没有监管点规则，后续可以依据相应需要，自定义添加。</w:t>
      </w:r>
    </w:p>
    <w:p>
      <w:pPr>
        <w:pStyle w:val="5"/>
        <w:rPr>
          <w:color w:val="auto"/>
        </w:rPr>
      </w:pPr>
      <w:r>
        <w:rPr>
          <w:rFonts w:hint="eastAsia"/>
          <w:color w:val="auto"/>
        </w:rPr>
        <w:t>如图：</w:t>
      </w:r>
    </w:p>
    <w:p>
      <w:pPr>
        <w:pStyle w:val="5"/>
        <w:rPr>
          <w:color w:val="auto"/>
        </w:rPr>
      </w:pPr>
      <w:r>
        <w:rPr>
          <w:color w:val="auto"/>
        </w:rPr>
        <w:drawing>
          <wp:inline distT="0" distB="0" distL="114300" distR="114300">
            <wp:extent cx="5271770" cy="2613660"/>
            <wp:effectExtent l="0" t="0" r="5080" b="1524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3"/>
                    <a:stretch>
                      <a:fillRect/>
                    </a:stretch>
                  </pic:blipFill>
                  <pic:spPr>
                    <a:xfrm>
                      <a:off x="0" y="0"/>
                      <a:ext cx="5271770" cy="2613660"/>
                    </a:xfrm>
                    <a:prstGeom prst="rect">
                      <a:avLst/>
                    </a:prstGeom>
                    <a:noFill/>
                    <a:ln>
                      <a:noFill/>
                    </a:ln>
                  </pic:spPr>
                </pic:pic>
              </a:graphicData>
            </a:graphic>
          </wp:inline>
        </w:drawing>
      </w:r>
    </w:p>
    <w:p>
      <w:pPr>
        <w:pStyle w:val="2"/>
        <w:numPr>
          <w:ilvl w:val="0"/>
          <w:numId w:val="0"/>
        </w:numPr>
        <w:tabs>
          <w:tab w:val="clear" w:pos="1425"/>
        </w:tabs>
        <w:ind w:left="705"/>
        <w:rPr>
          <w:color w:val="auto"/>
        </w:rPr>
      </w:pPr>
      <w:bookmarkStart w:id="18" w:name="_Toc61208775"/>
      <w:r>
        <w:rPr>
          <w:rFonts w:hint="eastAsia"/>
          <w:color w:val="auto"/>
        </w:rPr>
        <w:t>第5章信用管理</w:t>
      </w:r>
      <w:bookmarkEnd w:id="18"/>
    </w:p>
    <w:p>
      <w:pPr>
        <w:pStyle w:val="5"/>
        <w:rPr>
          <w:color w:val="auto"/>
        </w:rPr>
      </w:pPr>
    </w:p>
    <w:p>
      <w:pPr>
        <w:pStyle w:val="3"/>
        <w:numPr>
          <w:ilvl w:val="1"/>
          <w:numId w:val="0"/>
        </w:numPr>
        <w:tabs>
          <w:tab w:val="clear" w:pos="1545"/>
        </w:tabs>
        <w:rPr>
          <w:color w:val="auto"/>
        </w:rPr>
      </w:pPr>
      <w:bookmarkStart w:id="19" w:name="_Toc61208777"/>
      <w:r>
        <w:rPr>
          <w:rFonts w:hint="eastAsia"/>
          <w:color w:val="auto"/>
        </w:rPr>
        <w:t>5.1失信行为登记</w:t>
      </w:r>
      <w:bookmarkEnd w:id="19"/>
    </w:p>
    <w:p>
      <w:pPr>
        <w:pStyle w:val="5"/>
        <w:rPr>
          <w:color w:val="auto"/>
        </w:rPr>
      </w:pPr>
      <w:r>
        <w:rPr>
          <w:rFonts w:hint="eastAsia"/>
          <w:color w:val="auto"/>
        </w:rPr>
        <w:t>由财政经办人登记代理机构、采购人、供应商、评委等失信行为，然后提交由审批人审批。</w:t>
      </w:r>
    </w:p>
    <w:p>
      <w:pPr>
        <w:pStyle w:val="4"/>
        <w:numPr>
          <w:ilvl w:val="2"/>
          <w:numId w:val="0"/>
        </w:numPr>
        <w:tabs>
          <w:tab w:val="clear" w:pos="1965"/>
        </w:tabs>
        <w:rPr>
          <w:color w:val="auto"/>
        </w:rPr>
      </w:pPr>
      <w:bookmarkStart w:id="20" w:name="_Toc61208778"/>
      <w:r>
        <w:rPr>
          <w:rFonts w:hint="eastAsia"/>
          <w:color w:val="auto"/>
        </w:rPr>
        <w:t>5.1.1新增失信行为登记</w:t>
      </w:r>
      <w:bookmarkEnd w:id="20"/>
    </w:p>
    <w:p>
      <w:pPr>
        <w:pStyle w:val="5"/>
        <w:rPr>
          <w:color w:val="auto"/>
        </w:rPr>
      </w:pPr>
      <w:r>
        <w:rPr>
          <w:rFonts w:hint="eastAsia"/>
          <w:color w:val="auto"/>
        </w:rPr>
        <w:t>点击新增，如图：</w:t>
      </w:r>
    </w:p>
    <w:p>
      <w:pPr>
        <w:pStyle w:val="5"/>
        <w:rPr>
          <w:color w:val="auto"/>
        </w:rPr>
      </w:pPr>
      <w:r>
        <w:rPr>
          <w:color w:val="auto"/>
        </w:rPr>
        <w:drawing>
          <wp:inline distT="0" distB="0" distL="114300" distR="114300">
            <wp:extent cx="5274310" cy="2726690"/>
            <wp:effectExtent l="0" t="0" r="2540" b="1651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44"/>
                    <a:stretch>
                      <a:fillRect/>
                    </a:stretch>
                  </pic:blipFill>
                  <pic:spPr>
                    <a:xfrm>
                      <a:off x="0" y="0"/>
                      <a:ext cx="5274310" cy="2726690"/>
                    </a:xfrm>
                    <a:prstGeom prst="rect">
                      <a:avLst/>
                    </a:prstGeom>
                    <a:noFill/>
                    <a:ln>
                      <a:noFill/>
                    </a:ln>
                  </pic:spPr>
                </pic:pic>
              </a:graphicData>
            </a:graphic>
          </wp:inline>
        </w:drawing>
      </w:r>
    </w:p>
    <w:p>
      <w:pPr>
        <w:pStyle w:val="5"/>
        <w:rPr>
          <w:color w:val="auto"/>
        </w:rPr>
      </w:pPr>
      <w:r>
        <w:rPr>
          <w:rFonts w:hint="eastAsia"/>
          <w:color w:val="auto"/>
        </w:rPr>
        <w:t>在失信主题中，填写对应的失信类别以及基本信息；在失信处罚中录入相应的处罚信息；新增行，可以新增对应的失信说明，不需要就删除。</w:t>
      </w:r>
    </w:p>
    <w:p>
      <w:pPr>
        <w:pStyle w:val="5"/>
        <w:rPr>
          <w:color w:val="auto"/>
        </w:rPr>
      </w:pPr>
      <w:r>
        <w:rPr>
          <w:rFonts w:hint="eastAsia"/>
          <w:color w:val="auto"/>
        </w:rPr>
        <w:t>如图：</w:t>
      </w:r>
    </w:p>
    <w:p>
      <w:pPr>
        <w:pStyle w:val="5"/>
        <w:rPr>
          <w:color w:val="auto"/>
        </w:rPr>
      </w:pPr>
      <w:r>
        <w:rPr>
          <w:color w:val="auto"/>
        </w:rPr>
        <w:drawing>
          <wp:inline distT="0" distB="0" distL="114300" distR="114300">
            <wp:extent cx="5267325" cy="1074420"/>
            <wp:effectExtent l="0" t="0" r="9525" b="1143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45"/>
                    <a:stretch>
                      <a:fillRect/>
                    </a:stretch>
                  </pic:blipFill>
                  <pic:spPr>
                    <a:xfrm>
                      <a:off x="0" y="0"/>
                      <a:ext cx="5267325" cy="1074420"/>
                    </a:xfrm>
                    <a:prstGeom prst="rect">
                      <a:avLst/>
                    </a:prstGeom>
                    <a:noFill/>
                    <a:ln>
                      <a:noFill/>
                    </a:ln>
                  </pic:spPr>
                </pic:pic>
              </a:graphicData>
            </a:graphic>
          </wp:inline>
        </w:drawing>
      </w:r>
    </w:p>
    <w:p>
      <w:pPr>
        <w:pStyle w:val="5"/>
        <w:rPr>
          <w:color w:val="auto"/>
        </w:rPr>
      </w:pPr>
      <w:r>
        <w:rPr>
          <w:rFonts w:hint="eastAsia"/>
          <w:color w:val="auto"/>
        </w:rPr>
        <w:t>点击指标代码，选择相应的指标，</w:t>
      </w:r>
    </w:p>
    <w:p>
      <w:pPr>
        <w:pStyle w:val="5"/>
        <w:rPr>
          <w:color w:val="auto"/>
        </w:rPr>
      </w:pPr>
      <w:r>
        <w:rPr>
          <w:color w:val="auto"/>
        </w:rPr>
        <w:drawing>
          <wp:inline distT="0" distB="0" distL="114300" distR="114300">
            <wp:extent cx="5267960" cy="2755900"/>
            <wp:effectExtent l="0" t="0" r="8890" b="635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46"/>
                    <a:stretch>
                      <a:fillRect/>
                    </a:stretch>
                  </pic:blipFill>
                  <pic:spPr>
                    <a:xfrm>
                      <a:off x="0" y="0"/>
                      <a:ext cx="5267960" cy="2755900"/>
                    </a:xfrm>
                    <a:prstGeom prst="rect">
                      <a:avLst/>
                    </a:prstGeom>
                    <a:noFill/>
                    <a:ln>
                      <a:noFill/>
                    </a:ln>
                  </pic:spPr>
                </pic:pic>
              </a:graphicData>
            </a:graphic>
          </wp:inline>
        </w:drawing>
      </w:r>
    </w:p>
    <w:p>
      <w:pPr>
        <w:pStyle w:val="4"/>
        <w:numPr>
          <w:ilvl w:val="2"/>
          <w:numId w:val="0"/>
        </w:numPr>
        <w:tabs>
          <w:tab w:val="clear" w:pos="1965"/>
        </w:tabs>
        <w:rPr>
          <w:color w:val="auto"/>
        </w:rPr>
      </w:pPr>
      <w:bookmarkStart w:id="21" w:name="_Toc61208779"/>
      <w:r>
        <w:rPr>
          <w:rFonts w:hint="eastAsia"/>
          <w:color w:val="auto"/>
        </w:rPr>
        <w:t>5.1.2修改失信行为登记</w:t>
      </w:r>
      <w:bookmarkEnd w:id="21"/>
    </w:p>
    <w:p>
      <w:pPr>
        <w:pStyle w:val="5"/>
        <w:rPr>
          <w:color w:val="auto"/>
        </w:rPr>
      </w:pPr>
      <w:r>
        <w:rPr>
          <w:rFonts w:hint="eastAsia"/>
          <w:color w:val="auto"/>
        </w:rPr>
        <w:t>对于录入错误的，并未生效的失信行为，可以进行修改，查询选中对应的失信行为，点击修改，即可修改。</w:t>
      </w:r>
    </w:p>
    <w:p>
      <w:pPr>
        <w:pStyle w:val="4"/>
        <w:numPr>
          <w:ilvl w:val="2"/>
          <w:numId w:val="0"/>
        </w:numPr>
        <w:tabs>
          <w:tab w:val="clear" w:pos="1965"/>
        </w:tabs>
        <w:rPr>
          <w:color w:val="auto"/>
        </w:rPr>
      </w:pPr>
      <w:bookmarkStart w:id="22" w:name="_Toc61208780"/>
      <w:r>
        <w:rPr>
          <w:rFonts w:hint="eastAsia"/>
          <w:color w:val="auto"/>
        </w:rPr>
        <w:t>5.2.3删除失信行为登记</w:t>
      </w:r>
      <w:bookmarkEnd w:id="22"/>
    </w:p>
    <w:p>
      <w:pPr>
        <w:pStyle w:val="5"/>
        <w:rPr>
          <w:color w:val="auto"/>
        </w:rPr>
      </w:pPr>
      <w:r>
        <w:rPr>
          <w:rFonts w:hint="eastAsia"/>
          <w:color w:val="auto"/>
        </w:rPr>
        <w:t>对于录入错误的，并未生效的失信行为，登记人不需要登记此失信行为，可以进行删除，查询选中对应的失信行为，点击删除，即可删除不需要的该条行为数据。</w:t>
      </w:r>
    </w:p>
    <w:p>
      <w:pPr>
        <w:pStyle w:val="4"/>
        <w:numPr>
          <w:ilvl w:val="2"/>
          <w:numId w:val="0"/>
        </w:numPr>
        <w:tabs>
          <w:tab w:val="clear" w:pos="1965"/>
        </w:tabs>
        <w:rPr>
          <w:color w:val="auto"/>
        </w:rPr>
      </w:pPr>
      <w:bookmarkStart w:id="23" w:name="_Toc61208781"/>
      <w:r>
        <w:rPr>
          <w:rFonts w:hint="eastAsia"/>
          <w:color w:val="auto"/>
        </w:rPr>
        <w:t>5.2.4生效</w:t>
      </w:r>
      <w:bookmarkEnd w:id="23"/>
    </w:p>
    <w:p>
      <w:pPr>
        <w:pStyle w:val="5"/>
        <w:rPr>
          <w:color w:val="auto"/>
        </w:rPr>
      </w:pPr>
      <w:r>
        <w:rPr>
          <w:rFonts w:hint="eastAsia"/>
          <w:color w:val="auto"/>
        </w:rPr>
        <w:t>对于以登记的并未生效的失信行为，如果确认无误之后，需要生效，选中对应的失信行为，点击生效，则该条失信行为则会提交，由审核人进行审批。</w:t>
      </w:r>
    </w:p>
    <w:p>
      <w:pPr>
        <w:pStyle w:val="3"/>
        <w:numPr>
          <w:ilvl w:val="1"/>
          <w:numId w:val="0"/>
        </w:numPr>
        <w:tabs>
          <w:tab w:val="clear" w:pos="1545"/>
        </w:tabs>
        <w:rPr>
          <w:color w:val="auto"/>
        </w:rPr>
      </w:pPr>
      <w:bookmarkStart w:id="24" w:name="_Toc61208783"/>
      <w:r>
        <w:rPr>
          <w:rFonts w:hint="eastAsia"/>
          <w:color w:val="auto"/>
        </w:rPr>
        <w:t>5.2失信行为查询</w:t>
      </w:r>
      <w:bookmarkEnd w:id="24"/>
    </w:p>
    <w:p>
      <w:pPr>
        <w:rPr>
          <w:color w:val="auto"/>
        </w:rPr>
      </w:pPr>
      <w:r>
        <w:rPr>
          <w:rFonts w:hint="eastAsia"/>
          <w:color w:val="auto"/>
        </w:rPr>
        <w:t>依据相应的筛选条件，可以查询所需要的相应的失信行为数据，并于查询。</w:t>
      </w:r>
    </w:p>
    <w:p>
      <w:pPr>
        <w:rPr>
          <w:color w:val="auto"/>
        </w:rPr>
      </w:pPr>
      <w:r>
        <w:rPr>
          <w:rFonts w:hint="eastAsia"/>
          <w:color w:val="auto"/>
        </w:rPr>
        <w:t>如图：</w:t>
      </w:r>
    </w:p>
    <w:p>
      <w:pPr>
        <w:rPr>
          <w:color w:val="auto"/>
        </w:rPr>
      </w:pPr>
      <w:r>
        <w:rPr>
          <w:color w:val="auto"/>
        </w:rPr>
        <w:drawing>
          <wp:inline distT="0" distB="0" distL="114300" distR="114300">
            <wp:extent cx="5267960" cy="2585720"/>
            <wp:effectExtent l="0" t="0" r="8890" b="508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47"/>
                    <a:stretch>
                      <a:fillRect/>
                    </a:stretch>
                  </pic:blipFill>
                  <pic:spPr>
                    <a:xfrm>
                      <a:off x="0" y="0"/>
                      <a:ext cx="5267960" cy="2585720"/>
                    </a:xfrm>
                    <a:prstGeom prst="rect">
                      <a:avLst/>
                    </a:prstGeom>
                    <a:noFill/>
                    <a:ln>
                      <a:noFill/>
                    </a:ln>
                  </pic:spPr>
                </pic:pic>
              </a:graphicData>
            </a:graphic>
          </wp:inline>
        </w:drawing>
      </w:r>
    </w:p>
    <w:p>
      <w:pPr>
        <w:pStyle w:val="2"/>
        <w:numPr>
          <w:ilvl w:val="0"/>
          <w:numId w:val="0"/>
        </w:numPr>
        <w:tabs>
          <w:tab w:val="clear" w:pos="1425"/>
        </w:tabs>
        <w:ind w:left="705"/>
        <w:rPr>
          <w:color w:val="auto"/>
        </w:rPr>
      </w:pPr>
      <w:bookmarkStart w:id="25" w:name="_Toc61208784"/>
      <w:r>
        <w:rPr>
          <w:rFonts w:hint="eastAsia"/>
          <w:color w:val="auto"/>
        </w:rPr>
        <w:t>第6章投诉处理</w:t>
      </w:r>
      <w:bookmarkEnd w:id="25"/>
    </w:p>
    <w:p>
      <w:pPr>
        <w:pStyle w:val="3"/>
        <w:numPr>
          <w:ilvl w:val="1"/>
          <w:numId w:val="0"/>
        </w:numPr>
        <w:tabs>
          <w:tab w:val="clear" w:pos="1545"/>
        </w:tabs>
        <w:rPr>
          <w:color w:val="auto"/>
        </w:rPr>
      </w:pPr>
      <w:bookmarkStart w:id="26" w:name="_Toc61208785"/>
      <w:r>
        <w:rPr>
          <w:rFonts w:hint="eastAsia"/>
          <w:color w:val="auto"/>
        </w:rPr>
        <w:t>6.1投诉处理登记</w:t>
      </w:r>
      <w:bookmarkEnd w:id="26"/>
    </w:p>
    <w:p>
      <w:pPr>
        <w:rPr>
          <w:color w:val="auto"/>
        </w:rPr>
      </w:pPr>
      <w:r>
        <w:rPr>
          <w:rFonts w:hint="eastAsia"/>
          <w:color w:val="auto"/>
        </w:rPr>
        <w:tab/>
      </w:r>
      <w:r>
        <w:rPr>
          <w:rFonts w:hint="eastAsia"/>
          <w:color w:val="auto"/>
        </w:rPr>
        <w:t>打开“投诉处理</w:t>
      </w:r>
      <w:r>
        <w:rPr>
          <w:color w:val="auto"/>
        </w:rPr>
        <w:t>—</w:t>
      </w:r>
      <w:r>
        <w:rPr>
          <w:rFonts w:hint="eastAsia"/>
          <w:color w:val="auto"/>
        </w:rPr>
        <w:t>投诉处理登记”页面，点“新增”按钮填写投诉处理记录。</w:t>
      </w:r>
    </w:p>
    <w:p>
      <w:pPr>
        <w:rPr>
          <w:color w:val="auto"/>
        </w:rPr>
      </w:pPr>
      <w:r>
        <w:rPr>
          <w:color w:val="auto"/>
        </w:rPr>
        <w:drawing>
          <wp:inline distT="0" distB="0" distL="0" distR="0">
            <wp:extent cx="5274310" cy="149225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8"/>
                    <a:stretch>
                      <a:fillRect/>
                    </a:stretch>
                  </pic:blipFill>
                  <pic:spPr>
                    <a:xfrm>
                      <a:off x="0" y="0"/>
                      <a:ext cx="5274310" cy="1492556"/>
                    </a:xfrm>
                    <a:prstGeom prst="rect">
                      <a:avLst/>
                    </a:prstGeom>
                  </pic:spPr>
                </pic:pic>
              </a:graphicData>
            </a:graphic>
          </wp:inline>
        </w:drawing>
      </w:r>
    </w:p>
    <w:p>
      <w:pPr>
        <w:rPr>
          <w:color w:val="auto"/>
        </w:rPr>
      </w:pPr>
      <w:r>
        <w:rPr>
          <w:rFonts w:hint="eastAsia"/>
          <w:color w:val="auto"/>
        </w:rPr>
        <w:tab/>
      </w:r>
      <w:r>
        <w:rPr>
          <w:rFonts w:hint="eastAsia"/>
          <w:color w:val="auto"/>
        </w:rPr>
        <w:t>新增页面，红色*号标注的为必填项，投诉日期点击输入框右侧的控件按钮选择日期。填写后，如果是暂存点“保存”按钮；如果点“保存并发布”按钮，则会将投诉处理记录发布至江苏政府采购网投诉处理栏目。</w:t>
      </w:r>
    </w:p>
    <w:p>
      <w:pPr>
        <w:rPr>
          <w:color w:val="auto"/>
        </w:rPr>
      </w:pPr>
      <w:r>
        <w:rPr>
          <w:color w:val="auto"/>
        </w:rPr>
        <w:drawing>
          <wp:inline distT="0" distB="0" distL="0" distR="0">
            <wp:extent cx="5274310" cy="230949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9"/>
                    <a:stretch>
                      <a:fillRect/>
                    </a:stretch>
                  </pic:blipFill>
                  <pic:spPr>
                    <a:xfrm>
                      <a:off x="0" y="0"/>
                      <a:ext cx="5274310" cy="2309952"/>
                    </a:xfrm>
                    <a:prstGeom prst="rect">
                      <a:avLst/>
                    </a:prstGeom>
                  </pic:spPr>
                </pic:pic>
              </a:graphicData>
            </a:graphic>
          </wp:inline>
        </w:drawing>
      </w:r>
    </w:p>
    <w:p>
      <w:pPr>
        <w:rPr>
          <w:color w:val="auto"/>
        </w:rPr>
      </w:pPr>
      <w:r>
        <w:rPr>
          <w:rFonts w:hint="eastAsia"/>
          <w:color w:val="auto"/>
        </w:rPr>
        <w:tab/>
      </w:r>
      <w:r>
        <w:rPr>
          <w:rFonts w:hint="eastAsia"/>
          <w:color w:val="auto"/>
        </w:rPr>
        <w:t>状态为“新增”的记录，选择后点击“发布”按钮，即发布到江苏省政府采购网投诉处理栏目。</w:t>
      </w:r>
    </w:p>
    <w:p>
      <w:pPr>
        <w:rPr>
          <w:color w:val="auto"/>
        </w:rPr>
      </w:pPr>
      <w:r>
        <w:rPr>
          <w:color w:val="auto"/>
        </w:rPr>
        <w:drawing>
          <wp:inline distT="0" distB="0" distL="0" distR="0">
            <wp:extent cx="5274310" cy="97790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0"/>
                    <a:stretch>
                      <a:fillRect/>
                    </a:stretch>
                  </pic:blipFill>
                  <pic:spPr>
                    <a:xfrm>
                      <a:off x="0" y="0"/>
                      <a:ext cx="5274310" cy="977945"/>
                    </a:xfrm>
                    <a:prstGeom prst="rect">
                      <a:avLst/>
                    </a:prstGeom>
                  </pic:spPr>
                </pic:pic>
              </a:graphicData>
            </a:graphic>
          </wp:inline>
        </w:drawing>
      </w:r>
    </w:p>
    <w:p>
      <w:pPr>
        <w:pStyle w:val="3"/>
        <w:numPr>
          <w:ilvl w:val="1"/>
          <w:numId w:val="0"/>
        </w:numPr>
        <w:tabs>
          <w:tab w:val="clear" w:pos="1545"/>
        </w:tabs>
        <w:rPr>
          <w:color w:val="auto"/>
        </w:rPr>
      </w:pPr>
      <w:bookmarkStart w:id="27" w:name="_Toc61208786"/>
      <w:r>
        <w:rPr>
          <w:rFonts w:hint="eastAsia"/>
          <w:color w:val="auto"/>
        </w:rPr>
        <w:t>6.2投诉处理查询</w:t>
      </w:r>
      <w:bookmarkEnd w:id="27"/>
    </w:p>
    <w:p>
      <w:pPr>
        <w:pStyle w:val="5"/>
        <w:rPr>
          <w:color w:val="auto"/>
        </w:rPr>
      </w:pPr>
      <w:r>
        <w:rPr>
          <w:rFonts w:hint="eastAsia"/>
          <w:color w:val="auto"/>
        </w:rPr>
        <w:t>已发布到江苏省政府采购网投诉处理记录，在“投诉处理--投诉处理查询”页面查询。区县财政可查询本区域内的投诉处理记录，地市可查询辖区内所有区县及市本级发布的投诉处理记录。</w:t>
      </w:r>
    </w:p>
    <w:p>
      <w:pPr>
        <w:rPr>
          <w:color w:val="auto"/>
        </w:rPr>
      </w:pPr>
      <w:r>
        <w:rPr>
          <w:color w:val="auto"/>
        </w:rPr>
        <w:drawing>
          <wp:inline distT="0" distB="0" distL="0" distR="0">
            <wp:extent cx="5274310" cy="904875"/>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1"/>
                    <a:stretch>
                      <a:fillRect/>
                    </a:stretch>
                  </pic:blipFill>
                  <pic:spPr>
                    <a:xfrm>
                      <a:off x="0" y="0"/>
                      <a:ext cx="5274310" cy="905301"/>
                    </a:xfrm>
                    <a:prstGeom prst="rect">
                      <a:avLst/>
                    </a:prstGeom>
                  </pic:spPr>
                </pic:pic>
              </a:graphicData>
            </a:graphic>
          </wp:inline>
        </w:drawing>
      </w:r>
    </w:p>
    <w:p>
      <w:pPr>
        <w:pStyle w:val="3"/>
        <w:numPr>
          <w:ilvl w:val="1"/>
          <w:numId w:val="0"/>
        </w:numPr>
        <w:tabs>
          <w:tab w:val="clear" w:pos="1545"/>
        </w:tabs>
        <w:rPr>
          <w:color w:val="auto"/>
        </w:rPr>
      </w:pPr>
      <w:bookmarkStart w:id="28" w:name="_Toc61208787"/>
      <w:r>
        <w:rPr>
          <w:rFonts w:hint="eastAsia"/>
          <w:color w:val="auto"/>
        </w:rPr>
        <w:t>6.3投诉完成情况明细</w:t>
      </w:r>
      <w:bookmarkEnd w:id="28"/>
    </w:p>
    <w:p>
      <w:pPr>
        <w:pStyle w:val="5"/>
        <w:rPr>
          <w:color w:val="auto"/>
        </w:rPr>
      </w:pPr>
      <w:r>
        <w:rPr>
          <w:rFonts w:hint="eastAsia"/>
          <w:color w:val="auto"/>
        </w:rPr>
        <w:t>按地区、年份查询投诉记录的明细信息。</w:t>
      </w:r>
    </w:p>
    <w:p>
      <w:pPr>
        <w:rPr>
          <w:color w:val="auto"/>
        </w:rPr>
      </w:pPr>
      <w:r>
        <w:rPr>
          <w:color w:val="auto"/>
        </w:rPr>
        <w:drawing>
          <wp:inline distT="0" distB="0" distL="0" distR="0">
            <wp:extent cx="5274310" cy="278130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2"/>
                    <a:stretch>
                      <a:fillRect/>
                    </a:stretch>
                  </pic:blipFill>
                  <pic:spPr>
                    <a:xfrm>
                      <a:off x="0" y="0"/>
                      <a:ext cx="5274310" cy="2781832"/>
                    </a:xfrm>
                    <a:prstGeom prst="rect">
                      <a:avLst/>
                    </a:prstGeom>
                  </pic:spPr>
                </pic:pic>
              </a:graphicData>
            </a:graphic>
          </wp:inline>
        </w:drawing>
      </w:r>
    </w:p>
    <w:p>
      <w:pPr>
        <w:rPr>
          <w:color w:val="auto"/>
        </w:rPr>
      </w:pPr>
      <w:r>
        <w:rPr>
          <w:rFonts w:hint="eastAsia"/>
          <w:color w:val="auto"/>
        </w:rPr>
        <w:tab/>
      </w:r>
      <w:r>
        <w:rPr>
          <w:rFonts w:hint="eastAsia"/>
          <w:color w:val="auto"/>
        </w:rPr>
        <w:t>查询的记录，支持PDF、Excel、Word导出。以导出Excel为例，点击“输出</w:t>
      </w:r>
      <w:r>
        <w:rPr>
          <w:color w:val="auto"/>
        </w:rPr>
        <w:t>—</w:t>
      </w:r>
      <w:r>
        <w:rPr>
          <w:rFonts w:hint="eastAsia"/>
          <w:color w:val="auto"/>
        </w:rPr>
        <w:t>Excel</w:t>
      </w:r>
      <w:r>
        <w:rPr>
          <w:color w:val="auto"/>
        </w:rPr>
        <w:t>—</w:t>
      </w:r>
      <w:r>
        <w:rPr>
          <w:rFonts w:hint="eastAsia"/>
          <w:color w:val="auto"/>
        </w:rPr>
        <w:t>原样导出”按钮导出至本地电脑。</w:t>
      </w:r>
    </w:p>
    <w:p>
      <w:pPr>
        <w:rPr>
          <w:color w:val="auto"/>
        </w:rPr>
      </w:pPr>
      <w:r>
        <w:rPr>
          <w:color w:val="auto"/>
        </w:rPr>
        <w:drawing>
          <wp:inline distT="0" distB="0" distL="0" distR="0">
            <wp:extent cx="5274310" cy="166116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3"/>
                    <a:stretch>
                      <a:fillRect/>
                    </a:stretch>
                  </pic:blipFill>
                  <pic:spPr>
                    <a:xfrm>
                      <a:off x="0" y="0"/>
                      <a:ext cx="5274310" cy="1661652"/>
                    </a:xfrm>
                    <a:prstGeom prst="rect">
                      <a:avLst/>
                    </a:prstGeom>
                  </pic:spPr>
                </pic:pic>
              </a:graphicData>
            </a:graphic>
          </wp:inline>
        </w:drawing>
      </w:r>
    </w:p>
    <w:p>
      <w:pPr>
        <w:pStyle w:val="3"/>
        <w:numPr>
          <w:ilvl w:val="1"/>
          <w:numId w:val="0"/>
        </w:numPr>
        <w:tabs>
          <w:tab w:val="clear" w:pos="1545"/>
        </w:tabs>
        <w:rPr>
          <w:color w:val="auto"/>
        </w:rPr>
      </w:pPr>
      <w:bookmarkStart w:id="29" w:name="_Toc61208788"/>
      <w:r>
        <w:rPr>
          <w:rFonts w:hint="eastAsia"/>
          <w:color w:val="auto"/>
        </w:rPr>
        <w:t>6.4投诉完成情况统计</w:t>
      </w:r>
      <w:bookmarkEnd w:id="29"/>
    </w:p>
    <w:p>
      <w:pPr>
        <w:pStyle w:val="5"/>
        <w:rPr>
          <w:color w:val="auto"/>
        </w:rPr>
      </w:pPr>
      <w:r>
        <w:rPr>
          <w:rFonts w:hint="eastAsia"/>
          <w:color w:val="auto"/>
        </w:rPr>
        <w:t>按年份、月份、地区统计投诉处理的数量，同样也支持导出Excel等格式的文件。</w:t>
      </w:r>
    </w:p>
    <w:p>
      <w:pPr>
        <w:rPr>
          <w:color w:val="auto"/>
        </w:rPr>
      </w:pPr>
      <w:r>
        <w:rPr>
          <w:color w:val="auto"/>
        </w:rPr>
        <w:drawing>
          <wp:inline distT="0" distB="0" distL="0" distR="0">
            <wp:extent cx="5274310" cy="177863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4"/>
                    <a:stretch>
                      <a:fillRect/>
                    </a:stretch>
                  </pic:blipFill>
                  <pic:spPr>
                    <a:xfrm>
                      <a:off x="0" y="0"/>
                      <a:ext cx="5274310" cy="1778859"/>
                    </a:xfrm>
                    <a:prstGeom prst="rect">
                      <a:avLst/>
                    </a:prstGeom>
                  </pic:spPr>
                </pic:pic>
              </a:graphicData>
            </a:graphic>
          </wp:inline>
        </w:drawing>
      </w:r>
    </w:p>
    <w:p>
      <w:pPr>
        <w:pStyle w:val="3"/>
        <w:numPr>
          <w:ilvl w:val="1"/>
          <w:numId w:val="0"/>
        </w:numPr>
        <w:tabs>
          <w:tab w:val="clear" w:pos="1545"/>
        </w:tabs>
        <w:rPr>
          <w:color w:val="auto"/>
        </w:rPr>
      </w:pPr>
      <w:bookmarkStart w:id="30" w:name="_Toc61208789"/>
      <w:r>
        <w:rPr>
          <w:rFonts w:hint="eastAsia"/>
          <w:color w:val="auto"/>
        </w:rPr>
        <w:t>6.5江苏省政府采购网投诉处理查询页面</w:t>
      </w:r>
      <w:bookmarkEnd w:id="30"/>
    </w:p>
    <w:p>
      <w:pPr>
        <w:pStyle w:val="5"/>
        <w:rPr>
          <w:color w:val="auto"/>
        </w:rPr>
      </w:pPr>
      <w:r>
        <w:rPr>
          <w:rFonts w:hint="eastAsia"/>
          <w:color w:val="auto"/>
        </w:rPr>
        <w:t>江苏省政府采购网首页，点击“监管信息</w:t>
      </w:r>
      <w:r>
        <w:rPr>
          <w:color w:val="auto"/>
        </w:rPr>
        <w:t>—</w:t>
      </w:r>
      <w:r>
        <w:rPr>
          <w:rFonts w:hint="eastAsia"/>
          <w:color w:val="auto"/>
        </w:rPr>
        <w:t>投诉处理”栏目。</w:t>
      </w:r>
    </w:p>
    <w:p>
      <w:pPr>
        <w:rPr>
          <w:color w:val="auto"/>
        </w:rPr>
      </w:pPr>
      <w:r>
        <w:rPr>
          <w:color w:val="auto"/>
        </w:rPr>
        <w:drawing>
          <wp:inline distT="0" distB="0" distL="0" distR="0">
            <wp:extent cx="5274310" cy="256032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5"/>
                    <a:stretch>
                      <a:fillRect/>
                    </a:stretch>
                  </pic:blipFill>
                  <pic:spPr>
                    <a:xfrm>
                      <a:off x="0" y="0"/>
                      <a:ext cx="5274310" cy="2560848"/>
                    </a:xfrm>
                    <a:prstGeom prst="rect">
                      <a:avLst/>
                    </a:prstGeom>
                  </pic:spPr>
                </pic:pic>
              </a:graphicData>
            </a:graphic>
          </wp:inline>
        </w:drawing>
      </w:r>
    </w:p>
    <w:p>
      <w:pPr>
        <w:rPr>
          <w:color w:val="auto"/>
        </w:rPr>
      </w:pPr>
      <w:r>
        <w:rPr>
          <w:rFonts w:hint="eastAsia"/>
          <w:color w:val="auto"/>
        </w:rPr>
        <w:tab/>
      </w:r>
      <w:r>
        <w:rPr>
          <w:rFonts w:hint="eastAsia"/>
          <w:color w:val="auto"/>
        </w:rPr>
        <w:t>点击“投诉处理查询”菜单，继续点击“投诉处理查询”、“详情请点击此链接”打开投诉处理查询页面。</w:t>
      </w:r>
    </w:p>
    <w:p>
      <w:pPr>
        <w:rPr>
          <w:color w:val="auto"/>
        </w:rPr>
      </w:pPr>
      <w:r>
        <w:rPr>
          <w:color w:val="auto"/>
        </w:rPr>
        <w:drawing>
          <wp:inline distT="0" distB="0" distL="0" distR="0">
            <wp:extent cx="5274310" cy="271335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6"/>
                    <a:stretch>
                      <a:fillRect/>
                    </a:stretch>
                  </pic:blipFill>
                  <pic:spPr>
                    <a:xfrm>
                      <a:off x="0" y="0"/>
                      <a:ext cx="5274310" cy="2713462"/>
                    </a:xfrm>
                    <a:prstGeom prst="rect">
                      <a:avLst/>
                    </a:prstGeom>
                  </pic:spPr>
                </pic:pic>
              </a:graphicData>
            </a:graphic>
          </wp:inline>
        </w:drawing>
      </w:r>
    </w:p>
    <w:p>
      <w:pPr>
        <w:rPr>
          <w:color w:val="auto"/>
        </w:rPr>
      </w:pPr>
    </w:p>
    <w:p>
      <w:pPr>
        <w:jc w:val="right"/>
        <w:rPr>
          <w:color w:val="auto"/>
        </w:rPr>
      </w:pPr>
    </w:p>
    <w:p>
      <w:pPr>
        <w:rPr>
          <w:color w:val="auto"/>
        </w:rPr>
      </w:pPr>
      <w:r>
        <w:rPr>
          <w:color w:val="auto"/>
        </w:rPr>
        <w:drawing>
          <wp:inline distT="0" distB="0" distL="0" distR="0">
            <wp:extent cx="5274310" cy="261620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7"/>
                    <a:stretch>
                      <a:fillRect/>
                    </a:stretch>
                  </pic:blipFill>
                  <pic:spPr>
                    <a:xfrm>
                      <a:off x="0" y="0"/>
                      <a:ext cx="5274310" cy="2616400"/>
                    </a:xfrm>
                    <a:prstGeom prst="rect">
                      <a:avLst/>
                    </a:prstGeom>
                  </pic:spPr>
                </pic:pic>
              </a:graphicData>
            </a:graphic>
          </wp:inline>
        </w:drawing>
      </w:r>
    </w:p>
    <w:p>
      <w:pPr>
        <w:rPr>
          <w:color w:val="auto"/>
        </w:rPr>
      </w:pPr>
      <w:r>
        <w:rPr>
          <w:color w:val="auto"/>
        </w:rPr>
        <w:drawing>
          <wp:inline distT="0" distB="0" distL="0" distR="0">
            <wp:extent cx="5274310" cy="345503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8"/>
                    <a:stretch>
                      <a:fillRect/>
                    </a:stretch>
                  </pic:blipFill>
                  <pic:spPr>
                    <a:xfrm>
                      <a:off x="0" y="0"/>
                      <a:ext cx="5274310" cy="3455161"/>
                    </a:xfrm>
                    <a:prstGeom prst="rect">
                      <a:avLst/>
                    </a:prstGeom>
                  </pic:spPr>
                </pic:pic>
              </a:graphicData>
            </a:graphic>
          </wp:inline>
        </w:drawing>
      </w:r>
    </w:p>
    <w:p>
      <w:pPr>
        <w:rPr>
          <w:color w:val="auto"/>
        </w:rPr>
      </w:pPr>
      <w:r>
        <w:rPr>
          <w:rFonts w:hint="eastAsia"/>
          <w:color w:val="auto"/>
        </w:rPr>
        <w:tab/>
      </w:r>
      <w:r>
        <w:rPr>
          <w:rFonts w:hint="eastAsia"/>
          <w:color w:val="auto"/>
        </w:rPr>
        <w:t>输入投诉人、被投诉人、处理单位关键字信息后查询相应记录。</w:t>
      </w:r>
    </w:p>
    <w:p>
      <w:pPr>
        <w:rPr>
          <w:color w:val="auto"/>
        </w:rPr>
      </w:pPr>
      <w:r>
        <w:rPr>
          <w:color w:val="auto"/>
        </w:rPr>
        <w:drawing>
          <wp:inline distT="0" distB="0" distL="0" distR="0">
            <wp:extent cx="5274310" cy="2817495"/>
            <wp:effectExtent l="0" t="0" r="2540" b="190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9"/>
                    <a:stretch>
                      <a:fillRect/>
                    </a:stretch>
                  </pic:blipFill>
                  <pic:spPr>
                    <a:xfrm>
                      <a:off x="0" y="0"/>
                      <a:ext cx="5274310" cy="2817849"/>
                    </a:xfrm>
                    <a:prstGeom prst="rect">
                      <a:avLst/>
                    </a:prstGeom>
                  </pic:spPr>
                </pic:pic>
              </a:graphicData>
            </a:graphic>
          </wp:inline>
        </w:drawing>
      </w:r>
    </w:p>
    <w:p>
      <w:pPr>
        <w:rPr>
          <w:color w:val="auto"/>
        </w:rPr>
      </w:pPr>
    </w:p>
    <w:p>
      <w:pPr>
        <w:jc w:val="center"/>
        <w:rPr>
          <w:color w:val="auto"/>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9971028"/>
    </w:sdtPr>
    <w:sdtContent>
      <w:p>
        <w:pPr>
          <w:pStyle w:val="9"/>
          <w:jc w:val="center"/>
        </w:pPr>
        <w:r>
          <w:fldChar w:fldCharType="begin"/>
        </w:r>
        <w:r>
          <w:instrText xml:space="preserve">PAGE   \* MERGEFORMAT</w:instrText>
        </w:r>
        <w:r>
          <w:fldChar w:fldCharType="separate"/>
        </w:r>
        <w:r>
          <w:rPr>
            <w:lang w:val="zh-CN"/>
          </w:rPr>
          <w:t>27</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CF53B0"/>
    <w:multiLevelType w:val="multilevel"/>
    <w:tmpl w:val="53CF53B0"/>
    <w:lvl w:ilvl="0" w:tentative="0">
      <w:start w:val="1"/>
      <w:numFmt w:val="decimal"/>
      <w:suff w:val="space"/>
      <w:lvlText w:val="第%1章"/>
      <w:lvlJc w:val="left"/>
      <w:pPr>
        <w:ind w:left="0" w:firstLine="0"/>
      </w:pPr>
    </w:lvl>
    <w:lvl w:ilvl="1" w:tentative="0">
      <w:start w:val="1"/>
      <w:numFmt w:val="decimal"/>
      <w:suff w:val="space"/>
      <w:lvlText w:val="%1.%2"/>
      <w:lvlJc w:val="left"/>
      <w:pPr>
        <w:ind w:left="0" w:firstLine="0"/>
      </w:pPr>
      <w:rPr>
        <w:sz w:val="36"/>
        <w:szCs w:val="36"/>
      </w:rPr>
    </w:lvl>
    <w:lvl w:ilvl="2" w:tentative="0">
      <w:start w:val="1"/>
      <w:numFmt w:val="decimal"/>
      <w:suff w:val="space"/>
      <w:lvlText w:val="%1.%2.%3"/>
      <w:lvlJc w:val="left"/>
      <w:pPr>
        <w:tabs>
          <w:tab w:val="left" w:pos="0"/>
        </w:tabs>
        <w:ind w:left="0" w:firstLine="0"/>
      </w:pPr>
      <w:rPr>
        <w:rFonts w:hint="eastAsia" w:ascii="宋体" w:hAnsi="宋体" w:eastAsia="宋体" w:cs="宋体"/>
      </w:rPr>
    </w:lvl>
    <w:lvl w:ilvl="3" w:tentative="0">
      <w:start w:val="1"/>
      <w:numFmt w:val="decimal"/>
      <w:suff w:val="nothing"/>
      <w:lvlText w:val="%1.%2.%3.%4"/>
      <w:lvlJc w:val="left"/>
      <w:pPr>
        <w:tabs>
          <w:tab w:val="left" w:pos="1984"/>
        </w:tabs>
        <w:ind w:left="1984" w:firstLine="0"/>
      </w:pPr>
      <w:rPr>
        <w:rFonts w:hint="eastAsia" w:ascii="宋体" w:hAnsi="宋体" w:eastAsia="宋体" w:cs="宋体"/>
      </w:rPr>
    </w:lvl>
    <w:lvl w:ilvl="4" w:tentative="0">
      <w:start w:val="1"/>
      <w:numFmt w:val="decimal"/>
      <w:suff w:val="nothing"/>
      <w:lvlText w:val="%1.%2.%3.%4.%5"/>
      <w:lvlJc w:val="left"/>
      <w:pPr>
        <w:ind w:left="0" w:firstLine="0"/>
      </w:pPr>
      <w:rPr>
        <w:rFonts w:hint="eastAsia" w:ascii="宋体" w:hAnsi="宋体" w:eastAsia="宋体" w:cs="宋体"/>
      </w:rPr>
    </w:lvl>
    <w:lvl w:ilvl="5" w:tentative="0">
      <w:start w:val="1"/>
      <w:numFmt w:val="decimal"/>
      <w:suff w:val="nothing"/>
      <w:lvlText w:val="%1.%2.%3.%4.%5.%6"/>
      <w:lvlJc w:val="left"/>
      <w:pPr>
        <w:ind w:left="0" w:firstLine="0"/>
      </w:pPr>
      <w:rPr>
        <w:rFonts w:hint="eastAsia" w:ascii="宋体" w:hAnsi="宋体" w:eastAsia="宋体" w:cs="宋体"/>
      </w:rPr>
    </w:lvl>
    <w:lvl w:ilvl="6" w:tentative="0">
      <w:start w:val="1"/>
      <w:numFmt w:val="decimal"/>
      <w:suff w:val="nothing"/>
      <w:lvlText w:val="%1.%2.%3.%4.%5.%6.%7"/>
      <w:lvlJc w:val="left"/>
      <w:pPr>
        <w:ind w:left="0" w:firstLine="0"/>
      </w:pPr>
      <w:rPr>
        <w:rFonts w:hint="eastAsia" w:ascii="宋体" w:hAnsi="宋体" w:eastAsia="宋体" w:cs="宋体"/>
      </w:rPr>
    </w:lvl>
    <w:lvl w:ilvl="7" w:tentative="0">
      <w:start w:val="1"/>
      <w:numFmt w:val="decimal"/>
      <w:suff w:val="nothing"/>
      <w:lvlText w:val="%1.%2.%3.%4.%5.%6.%7.%8"/>
      <w:lvlJc w:val="left"/>
      <w:pPr>
        <w:ind w:left="0" w:firstLine="0"/>
      </w:pPr>
      <w:rPr>
        <w:rFonts w:hint="eastAsia" w:ascii="宋体" w:hAnsi="宋体" w:eastAsia="宋体" w:cs="宋体"/>
      </w:rPr>
    </w:lvl>
    <w:lvl w:ilvl="8" w:tentative="0">
      <w:start w:val="1"/>
      <w:numFmt w:val="decimal"/>
      <w:suff w:val="nothing"/>
      <w:lvlText w:val="%1.%2.%3.%4.%5.%6.%7.%8.%9"/>
      <w:lvlJc w:val="left"/>
      <w:pPr>
        <w:ind w:left="0" w:firstLine="0"/>
      </w:pPr>
      <w:rPr>
        <w:rFonts w:hint="eastAsia" w:ascii="宋体" w:hAnsi="宋体" w:eastAsia="宋体" w:cs="宋体"/>
      </w:rPr>
    </w:lvl>
  </w:abstractNum>
  <w:abstractNum w:abstractNumId="1">
    <w:nsid w:val="59B24463"/>
    <w:multiLevelType w:val="multilevel"/>
    <w:tmpl w:val="59B24463"/>
    <w:lvl w:ilvl="0" w:tentative="0">
      <w:start w:val="1"/>
      <w:numFmt w:val="japaneseCounting"/>
      <w:pStyle w:val="2"/>
      <w:lvlText w:val="%1、"/>
      <w:lvlJc w:val="left"/>
      <w:pPr>
        <w:tabs>
          <w:tab w:val="left" w:pos="1425"/>
        </w:tabs>
        <w:ind w:left="1425" w:hanging="720"/>
      </w:pPr>
    </w:lvl>
    <w:lvl w:ilvl="1" w:tentative="0">
      <w:start w:val="1"/>
      <w:numFmt w:val="lowerLetter"/>
      <w:pStyle w:val="3"/>
      <w:lvlText w:val="%2)"/>
      <w:lvlJc w:val="left"/>
      <w:pPr>
        <w:tabs>
          <w:tab w:val="left" w:pos="1545"/>
        </w:tabs>
        <w:ind w:left="1545" w:hanging="420"/>
      </w:pPr>
    </w:lvl>
    <w:lvl w:ilvl="2" w:tentative="0">
      <w:start w:val="1"/>
      <w:numFmt w:val="lowerRoman"/>
      <w:pStyle w:val="4"/>
      <w:lvlText w:val="%3."/>
      <w:lvlJc w:val="right"/>
      <w:pPr>
        <w:tabs>
          <w:tab w:val="left" w:pos="1965"/>
        </w:tabs>
        <w:ind w:left="1965" w:hanging="420"/>
      </w:pPr>
    </w:lvl>
    <w:lvl w:ilvl="3" w:tentative="0">
      <w:start w:val="1"/>
      <w:numFmt w:val="decimal"/>
      <w:pStyle w:val="6"/>
      <w:lvlText w:val="%4."/>
      <w:lvlJc w:val="left"/>
      <w:pPr>
        <w:tabs>
          <w:tab w:val="left" w:pos="420"/>
        </w:tabs>
        <w:ind w:left="420" w:hanging="420"/>
      </w:pPr>
    </w:lvl>
    <w:lvl w:ilvl="4" w:tentative="0">
      <w:start w:val="1"/>
      <w:numFmt w:val="lowerLetter"/>
      <w:lvlText w:val="%5)"/>
      <w:lvlJc w:val="left"/>
      <w:pPr>
        <w:tabs>
          <w:tab w:val="left" w:pos="2805"/>
        </w:tabs>
        <w:ind w:left="2805" w:hanging="420"/>
      </w:pPr>
    </w:lvl>
    <w:lvl w:ilvl="5" w:tentative="0">
      <w:start w:val="1"/>
      <w:numFmt w:val="lowerRoman"/>
      <w:lvlText w:val="%6."/>
      <w:lvlJc w:val="right"/>
      <w:pPr>
        <w:tabs>
          <w:tab w:val="left" w:pos="3225"/>
        </w:tabs>
        <w:ind w:left="3225" w:hanging="420"/>
      </w:pPr>
    </w:lvl>
    <w:lvl w:ilvl="6" w:tentative="0">
      <w:start w:val="1"/>
      <w:numFmt w:val="decimal"/>
      <w:lvlText w:val="%7."/>
      <w:lvlJc w:val="left"/>
      <w:pPr>
        <w:tabs>
          <w:tab w:val="left" w:pos="3645"/>
        </w:tabs>
        <w:ind w:left="3645" w:hanging="420"/>
      </w:pPr>
    </w:lvl>
    <w:lvl w:ilvl="7" w:tentative="0">
      <w:start w:val="1"/>
      <w:numFmt w:val="lowerLetter"/>
      <w:lvlText w:val="%8)"/>
      <w:lvlJc w:val="left"/>
      <w:pPr>
        <w:tabs>
          <w:tab w:val="left" w:pos="4065"/>
        </w:tabs>
        <w:ind w:left="4065" w:hanging="420"/>
      </w:pPr>
    </w:lvl>
    <w:lvl w:ilvl="8" w:tentative="0">
      <w:start w:val="1"/>
      <w:numFmt w:val="lowerRoman"/>
      <w:lvlText w:val="%9."/>
      <w:lvlJc w:val="right"/>
      <w:pPr>
        <w:tabs>
          <w:tab w:val="left" w:pos="4485"/>
        </w:tabs>
        <w:ind w:left="4485"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9B1"/>
    <w:rsid w:val="0002041A"/>
    <w:rsid w:val="0002355F"/>
    <w:rsid w:val="00024FEC"/>
    <w:rsid w:val="0005669E"/>
    <w:rsid w:val="00074776"/>
    <w:rsid w:val="000D6132"/>
    <w:rsid w:val="000D6341"/>
    <w:rsid w:val="000E70F6"/>
    <w:rsid w:val="00102F9A"/>
    <w:rsid w:val="00103BEA"/>
    <w:rsid w:val="00120750"/>
    <w:rsid w:val="001245DB"/>
    <w:rsid w:val="00137E31"/>
    <w:rsid w:val="00156E19"/>
    <w:rsid w:val="00166CF2"/>
    <w:rsid w:val="00180409"/>
    <w:rsid w:val="001B04B4"/>
    <w:rsid w:val="001C05AC"/>
    <w:rsid w:val="001C3746"/>
    <w:rsid w:val="001C5028"/>
    <w:rsid w:val="001D2DE2"/>
    <w:rsid w:val="001D548D"/>
    <w:rsid w:val="001D5A2C"/>
    <w:rsid w:val="001F1C73"/>
    <w:rsid w:val="002053C2"/>
    <w:rsid w:val="00207BC4"/>
    <w:rsid w:val="00216854"/>
    <w:rsid w:val="00216A90"/>
    <w:rsid w:val="00254852"/>
    <w:rsid w:val="002558D7"/>
    <w:rsid w:val="0026383E"/>
    <w:rsid w:val="0026765E"/>
    <w:rsid w:val="002A6423"/>
    <w:rsid w:val="002B2EEF"/>
    <w:rsid w:val="002E079D"/>
    <w:rsid w:val="002F72DB"/>
    <w:rsid w:val="00315ACC"/>
    <w:rsid w:val="003314AB"/>
    <w:rsid w:val="0035455A"/>
    <w:rsid w:val="00360639"/>
    <w:rsid w:val="003820FE"/>
    <w:rsid w:val="003851B7"/>
    <w:rsid w:val="00385646"/>
    <w:rsid w:val="00392F6D"/>
    <w:rsid w:val="003C0644"/>
    <w:rsid w:val="003C29BF"/>
    <w:rsid w:val="003C6E2C"/>
    <w:rsid w:val="003D3FFD"/>
    <w:rsid w:val="003E7821"/>
    <w:rsid w:val="003F23E8"/>
    <w:rsid w:val="00414A01"/>
    <w:rsid w:val="00440B5B"/>
    <w:rsid w:val="00446DB0"/>
    <w:rsid w:val="004479D3"/>
    <w:rsid w:val="00464B63"/>
    <w:rsid w:val="004E0F45"/>
    <w:rsid w:val="00530DD9"/>
    <w:rsid w:val="00532560"/>
    <w:rsid w:val="00534B96"/>
    <w:rsid w:val="005433E1"/>
    <w:rsid w:val="0054618E"/>
    <w:rsid w:val="0055745F"/>
    <w:rsid w:val="0057127A"/>
    <w:rsid w:val="00581BFB"/>
    <w:rsid w:val="0059046D"/>
    <w:rsid w:val="005C0952"/>
    <w:rsid w:val="005C5F04"/>
    <w:rsid w:val="005C6F31"/>
    <w:rsid w:val="005E197B"/>
    <w:rsid w:val="006026CC"/>
    <w:rsid w:val="0060781F"/>
    <w:rsid w:val="00610226"/>
    <w:rsid w:val="00610E66"/>
    <w:rsid w:val="0062123F"/>
    <w:rsid w:val="00626926"/>
    <w:rsid w:val="006403CA"/>
    <w:rsid w:val="00664182"/>
    <w:rsid w:val="006878C4"/>
    <w:rsid w:val="00693E45"/>
    <w:rsid w:val="006C5BE5"/>
    <w:rsid w:val="006E2BFC"/>
    <w:rsid w:val="006E5D61"/>
    <w:rsid w:val="0073724A"/>
    <w:rsid w:val="00761978"/>
    <w:rsid w:val="00770EDB"/>
    <w:rsid w:val="00774BE4"/>
    <w:rsid w:val="00777630"/>
    <w:rsid w:val="00781B98"/>
    <w:rsid w:val="007971BB"/>
    <w:rsid w:val="007A7EAA"/>
    <w:rsid w:val="007B2C83"/>
    <w:rsid w:val="007B4F28"/>
    <w:rsid w:val="007B64B8"/>
    <w:rsid w:val="007B6A6D"/>
    <w:rsid w:val="007C2668"/>
    <w:rsid w:val="007E46B2"/>
    <w:rsid w:val="00807D71"/>
    <w:rsid w:val="008227B2"/>
    <w:rsid w:val="00823C9E"/>
    <w:rsid w:val="0082401B"/>
    <w:rsid w:val="00825925"/>
    <w:rsid w:val="008516FB"/>
    <w:rsid w:val="00852DEC"/>
    <w:rsid w:val="00877E0B"/>
    <w:rsid w:val="008C6C27"/>
    <w:rsid w:val="00916071"/>
    <w:rsid w:val="0095747D"/>
    <w:rsid w:val="00982640"/>
    <w:rsid w:val="00984613"/>
    <w:rsid w:val="009A4599"/>
    <w:rsid w:val="009C695D"/>
    <w:rsid w:val="009F1BB7"/>
    <w:rsid w:val="009F2282"/>
    <w:rsid w:val="009F34BD"/>
    <w:rsid w:val="00A1730C"/>
    <w:rsid w:val="00A26C18"/>
    <w:rsid w:val="00A33E5F"/>
    <w:rsid w:val="00A34971"/>
    <w:rsid w:val="00A453E9"/>
    <w:rsid w:val="00A77F8F"/>
    <w:rsid w:val="00A90E32"/>
    <w:rsid w:val="00A929B1"/>
    <w:rsid w:val="00AA46BE"/>
    <w:rsid w:val="00AD3584"/>
    <w:rsid w:val="00AE45E5"/>
    <w:rsid w:val="00AF0912"/>
    <w:rsid w:val="00AF23DA"/>
    <w:rsid w:val="00B3465C"/>
    <w:rsid w:val="00B76417"/>
    <w:rsid w:val="00B80BAB"/>
    <w:rsid w:val="00BD775C"/>
    <w:rsid w:val="00BE7154"/>
    <w:rsid w:val="00BF6841"/>
    <w:rsid w:val="00C20B97"/>
    <w:rsid w:val="00C47554"/>
    <w:rsid w:val="00C576C1"/>
    <w:rsid w:val="00C64936"/>
    <w:rsid w:val="00C70104"/>
    <w:rsid w:val="00C96F18"/>
    <w:rsid w:val="00CA10EE"/>
    <w:rsid w:val="00CB099E"/>
    <w:rsid w:val="00CE4DEF"/>
    <w:rsid w:val="00CF4CF3"/>
    <w:rsid w:val="00CF5466"/>
    <w:rsid w:val="00D145F4"/>
    <w:rsid w:val="00D35476"/>
    <w:rsid w:val="00D54F44"/>
    <w:rsid w:val="00D64BBA"/>
    <w:rsid w:val="00D73B12"/>
    <w:rsid w:val="00D748FE"/>
    <w:rsid w:val="00D84D9D"/>
    <w:rsid w:val="00DB032B"/>
    <w:rsid w:val="00DC17A9"/>
    <w:rsid w:val="00DD592D"/>
    <w:rsid w:val="00E03C63"/>
    <w:rsid w:val="00E66DD1"/>
    <w:rsid w:val="00E74430"/>
    <w:rsid w:val="00E805CD"/>
    <w:rsid w:val="00EA2B43"/>
    <w:rsid w:val="00EB6D63"/>
    <w:rsid w:val="00ED4FEC"/>
    <w:rsid w:val="00EE3F75"/>
    <w:rsid w:val="00F01209"/>
    <w:rsid w:val="00F233EC"/>
    <w:rsid w:val="00F33662"/>
    <w:rsid w:val="00F70919"/>
    <w:rsid w:val="00FB2E66"/>
    <w:rsid w:val="00FB5E3C"/>
    <w:rsid w:val="00FC7859"/>
    <w:rsid w:val="00FE1BB5"/>
    <w:rsid w:val="04E438C3"/>
    <w:rsid w:val="053D0CAD"/>
    <w:rsid w:val="0EC37B3F"/>
    <w:rsid w:val="15364309"/>
    <w:rsid w:val="3A7A0349"/>
    <w:rsid w:val="3C09567C"/>
    <w:rsid w:val="4DC67406"/>
    <w:rsid w:val="529C69A0"/>
    <w:rsid w:val="68B948CA"/>
    <w:rsid w:val="6C465E25"/>
    <w:rsid w:val="76142C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16"/>
    <w:qFormat/>
    <w:uiPriority w:val="0"/>
    <w:pPr>
      <w:keepNext/>
      <w:numPr>
        <w:ilvl w:val="0"/>
        <w:numId w:val="1"/>
      </w:numPr>
      <w:tabs>
        <w:tab w:val="left" w:pos="700"/>
      </w:tabs>
      <w:adjustRightInd w:val="0"/>
      <w:spacing w:before="360" w:after="120" w:line="288" w:lineRule="auto"/>
      <w:jc w:val="center"/>
      <w:outlineLvl w:val="0"/>
    </w:pPr>
    <w:rPr>
      <w:rFonts w:eastAsia="黑体"/>
      <w:b/>
      <w:kern w:val="0"/>
      <w:sz w:val="48"/>
      <w:szCs w:val="20"/>
    </w:rPr>
  </w:style>
  <w:style w:type="paragraph" w:styleId="3">
    <w:name w:val="heading 2"/>
    <w:basedOn w:val="1"/>
    <w:next w:val="1"/>
    <w:link w:val="17"/>
    <w:unhideWhenUsed/>
    <w:qFormat/>
    <w:uiPriority w:val="0"/>
    <w:pPr>
      <w:keepNext/>
      <w:keepLines/>
      <w:numPr>
        <w:ilvl w:val="1"/>
        <w:numId w:val="1"/>
      </w:numPr>
      <w:tabs>
        <w:tab w:val="left" w:pos="-491"/>
        <w:tab w:val="left" w:pos="1425"/>
      </w:tabs>
      <w:spacing w:before="260" w:after="260" w:line="415" w:lineRule="auto"/>
      <w:jc w:val="left"/>
      <w:outlineLvl w:val="1"/>
    </w:pPr>
    <w:rPr>
      <w:rFonts w:eastAsia="黑体"/>
      <w:b/>
      <w:bCs/>
      <w:sz w:val="36"/>
      <w:szCs w:val="32"/>
    </w:rPr>
  </w:style>
  <w:style w:type="paragraph" w:styleId="4">
    <w:name w:val="heading 3"/>
    <w:basedOn w:val="1"/>
    <w:next w:val="5"/>
    <w:link w:val="18"/>
    <w:unhideWhenUsed/>
    <w:qFormat/>
    <w:uiPriority w:val="0"/>
    <w:pPr>
      <w:keepNext/>
      <w:keepLines/>
      <w:numPr>
        <w:ilvl w:val="2"/>
        <w:numId w:val="1"/>
      </w:numPr>
      <w:tabs>
        <w:tab w:val="left" w:pos="-851"/>
        <w:tab w:val="left" w:pos="1425"/>
      </w:tabs>
      <w:spacing w:before="260" w:after="260" w:line="415" w:lineRule="auto"/>
      <w:outlineLvl w:val="2"/>
    </w:pPr>
    <w:rPr>
      <w:rFonts w:ascii="Arial" w:hAnsi="Arial" w:eastAsia="黑体"/>
      <w:b/>
      <w:sz w:val="32"/>
      <w:szCs w:val="30"/>
    </w:rPr>
  </w:style>
  <w:style w:type="paragraph" w:styleId="6">
    <w:name w:val="heading 4"/>
    <w:basedOn w:val="1"/>
    <w:next w:val="1"/>
    <w:link w:val="19"/>
    <w:unhideWhenUsed/>
    <w:qFormat/>
    <w:uiPriority w:val="0"/>
    <w:pPr>
      <w:keepNext/>
      <w:keepLines/>
      <w:numPr>
        <w:ilvl w:val="3"/>
        <w:numId w:val="1"/>
      </w:numPr>
      <w:tabs>
        <w:tab w:val="left" w:pos="1715"/>
        <w:tab w:val="left" w:pos="2385"/>
        <w:tab w:val="clear" w:pos="420"/>
      </w:tabs>
      <w:spacing w:before="240" w:line="376" w:lineRule="auto"/>
      <w:ind w:left="0"/>
      <w:outlineLvl w:val="3"/>
    </w:pPr>
    <w:rPr>
      <w:rFonts w:ascii="Arial" w:hAnsi="Arial" w:eastAsia="楷体_GB2312"/>
      <w:b/>
      <w:bCs/>
      <w:szCs w:val="28"/>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Normal Indent"/>
    <w:basedOn w:val="1"/>
    <w:unhideWhenUsed/>
    <w:qFormat/>
    <w:uiPriority w:val="0"/>
    <w:pPr>
      <w:ind w:firstLine="420"/>
    </w:pPr>
    <w:rPr>
      <w:szCs w:val="20"/>
    </w:rPr>
  </w:style>
  <w:style w:type="paragraph" w:styleId="7">
    <w:name w:val="toc 3"/>
    <w:basedOn w:val="1"/>
    <w:next w:val="1"/>
    <w:unhideWhenUsed/>
    <w:qFormat/>
    <w:uiPriority w:val="39"/>
    <w:pPr>
      <w:spacing w:line="240" w:lineRule="auto"/>
      <w:ind w:left="960" w:leftChars="400" w:firstLine="420"/>
    </w:pPr>
    <w:rPr>
      <w:sz w:val="21"/>
      <w:szCs w:val="20"/>
    </w:rPr>
  </w:style>
  <w:style w:type="paragraph" w:styleId="8">
    <w:name w:val="Balloon Text"/>
    <w:basedOn w:val="1"/>
    <w:link w:val="22"/>
    <w:semiHidden/>
    <w:unhideWhenUsed/>
    <w:qFormat/>
    <w:uiPriority w:val="99"/>
    <w:pPr>
      <w:spacing w:line="240" w:lineRule="auto"/>
    </w:pPr>
    <w:rPr>
      <w:sz w:val="18"/>
      <w:szCs w:val="18"/>
    </w:rPr>
  </w:style>
  <w:style w:type="paragraph" w:styleId="9">
    <w:name w:val="footer"/>
    <w:basedOn w:val="1"/>
    <w:link w:val="21"/>
    <w:unhideWhenUsed/>
    <w:qFormat/>
    <w:uiPriority w:val="99"/>
    <w:pPr>
      <w:tabs>
        <w:tab w:val="center" w:pos="4153"/>
        <w:tab w:val="right" w:pos="8306"/>
      </w:tabs>
      <w:snapToGrid w:val="0"/>
      <w:spacing w:line="240" w:lineRule="auto"/>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semiHidden/>
    <w:unhideWhenUsed/>
    <w:qFormat/>
    <w:uiPriority w:val="39"/>
    <w:pPr>
      <w:ind w:firstLine="420"/>
      <w:jc w:val="left"/>
    </w:pPr>
    <w:rPr>
      <w:rFonts w:ascii="Arial Narrow" w:hAnsi="Arial Narrow"/>
      <w:b/>
      <w:bCs/>
      <w:sz w:val="21"/>
      <w:szCs w:val="20"/>
    </w:rPr>
  </w:style>
  <w:style w:type="paragraph" w:styleId="12">
    <w:name w:val="toc 2"/>
    <w:basedOn w:val="1"/>
    <w:next w:val="1"/>
    <w:semiHidden/>
    <w:unhideWhenUsed/>
    <w:qFormat/>
    <w:uiPriority w:val="39"/>
    <w:pPr>
      <w:spacing w:line="240" w:lineRule="auto"/>
      <w:ind w:firstLine="420"/>
      <w:jc w:val="left"/>
    </w:pPr>
    <w:rPr>
      <w:iCs/>
      <w:sz w:val="21"/>
      <w:szCs w:val="20"/>
    </w:rPr>
  </w:style>
  <w:style w:type="character" w:styleId="15">
    <w:name w:val="Hyperlink"/>
    <w:semiHidden/>
    <w:unhideWhenUsed/>
    <w:qFormat/>
    <w:uiPriority w:val="99"/>
    <w:rPr>
      <w:rFonts w:hint="default" w:ascii="Arial" w:hAnsi="Arial" w:eastAsia="宋体" w:cs="Arial"/>
      <w:color w:val="0000FF"/>
      <w:sz w:val="21"/>
      <w:szCs w:val="21"/>
      <w:u w:val="single"/>
    </w:rPr>
  </w:style>
  <w:style w:type="character" w:customStyle="1" w:styleId="16">
    <w:name w:val="标题 1 Char"/>
    <w:basedOn w:val="14"/>
    <w:link w:val="2"/>
    <w:qFormat/>
    <w:uiPriority w:val="0"/>
    <w:rPr>
      <w:rFonts w:eastAsia="黑体"/>
      <w:b/>
      <w:sz w:val="48"/>
    </w:rPr>
  </w:style>
  <w:style w:type="character" w:customStyle="1" w:styleId="17">
    <w:name w:val="标题 2 Char"/>
    <w:basedOn w:val="14"/>
    <w:link w:val="3"/>
    <w:qFormat/>
    <w:uiPriority w:val="0"/>
    <w:rPr>
      <w:rFonts w:eastAsia="黑体"/>
      <w:b/>
      <w:bCs/>
      <w:kern w:val="2"/>
      <w:sz w:val="36"/>
      <w:szCs w:val="32"/>
    </w:rPr>
  </w:style>
  <w:style w:type="character" w:customStyle="1" w:styleId="18">
    <w:name w:val="标题 3 Char"/>
    <w:basedOn w:val="14"/>
    <w:link w:val="4"/>
    <w:qFormat/>
    <w:uiPriority w:val="0"/>
    <w:rPr>
      <w:rFonts w:ascii="Arial" w:hAnsi="Arial" w:eastAsia="黑体"/>
      <w:b/>
      <w:kern w:val="2"/>
      <w:sz w:val="32"/>
      <w:szCs w:val="30"/>
    </w:rPr>
  </w:style>
  <w:style w:type="character" w:customStyle="1" w:styleId="19">
    <w:name w:val="标题 4 Char"/>
    <w:basedOn w:val="14"/>
    <w:link w:val="6"/>
    <w:qFormat/>
    <w:uiPriority w:val="0"/>
    <w:rPr>
      <w:rFonts w:ascii="Arial" w:hAnsi="Arial" w:eastAsia="楷体_GB2312" w:cs="Times New Roman"/>
      <w:b/>
      <w:bCs/>
      <w:sz w:val="24"/>
      <w:szCs w:val="28"/>
    </w:rPr>
  </w:style>
  <w:style w:type="character" w:customStyle="1" w:styleId="20">
    <w:name w:val="页眉 Char"/>
    <w:basedOn w:val="14"/>
    <w:link w:val="10"/>
    <w:qFormat/>
    <w:uiPriority w:val="99"/>
    <w:rPr>
      <w:rFonts w:ascii="Times New Roman" w:hAnsi="Times New Roman" w:eastAsia="宋体" w:cs="Times New Roman"/>
      <w:sz w:val="18"/>
      <w:szCs w:val="18"/>
    </w:rPr>
  </w:style>
  <w:style w:type="character" w:customStyle="1" w:styleId="21">
    <w:name w:val="页脚 Char"/>
    <w:basedOn w:val="14"/>
    <w:link w:val="9"/>
    <w:qFormat/>
    <w:uiPriority w:val="99"/>
    <w:rPr>
      <w:rFonts w:ascii="Times New Roman" w:hAnsi="Times New Roman" w:eastAsia="宋体" w:cs="Times New Roman"/>
      <w:sz w:val="18"/>
      <w:szCs w:val="18"/>
    </w:rPr>
  </w:style>
  <w:style w:type="character" w:customStyle="1" w:styleId="22">
    <w:name w:val="批注框文本 Char"/>
    <w:basedOn w:val="14"/>
    <w:link w:val="8"/>
    <w:semiHidden/>
    <w:qFormat/>
    <w:uiPriority w:val="99"/>
    <w:rPr>
      <w:rFonts w:ascii="Times New Roman" w:hAnsi="Times New Roman" w:eastAsia="宋体" w:cs="Times New Roman"/>
      <w:sz w:val="18"/>
      <w:szCs w:val="18"/>
    </w:rPr>
  </w:style>
  <w:style w:type="paragraph" w:customStyle="1" w:styleId="23">
    <w:name w:val="Defaul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fin</Company>
  <Pages>31</Pages>
  <Words>1012</Words>
  <Characters>5774</Characters>
  <Lines>48</Lines>
  <Paragraphs>13</Paragraphs>
  <TotalTime>2</TotalTime>
  <ScaleCrop>false</ScaleCrop>
  <LinksUpToDate>false</LinksUpToDate>
  <CharactersWithSpaces>6773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2017-04-05T03:27:00Z</dcterms:created>
  <dc:creator>系统生成</dc:creator>
  <cp:lastModifiedBy>Lenovo</cp:lastModifiedBy>
  <cp:lastPrinted>2017-04-05T08:40:00Z</cp:lastPrinted>
  <dcterms:modified xsi:type="dcterms:W3CDTF">2021-01-22T02:41:17Z</dcterms:modified>
  <cp:revision>276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